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2D" w:rsidRDefault="00840D2D" w:rsidP="00840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Starting a New Learning Community</w:t>
      </w:r>
      <w:r w:rsidR="007C7620">
        <w:rPr>
          <w:rFonts w:ascii="Arial" w:hAnsi="Arial" w:cs="Arial"/>
          <w:b/>
          <w:sz w:val="28"/>
          <w:szCs w:val="28"/>
        </w:rPr>
        <w:t xml:space="preserve"> (LC)</w:t>
      </w:r>
    </w:p>
    <w:p w:rsidR="00840D2D" w:rsidRDefault="00840D2D" w:rsidP="00CA1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A4BAE" w:rsidRDefault="00DA4BAE" w:rsidP="00CA1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 I</w:t>
      </w:r>
    </w:p>
    <w:p w:rsidR="00CA1F55" w:rsidRPr="002A0449" w:rsidRDefault="00CA1F55" w:rsidP="00CA1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A0449">
        <w:rPr>
          <w:rFonts w:ascii="Arial" w:hAnsi="Arial" w:cs="Arial"/>
          <w:b/>
          <w:sz w:val="28"/>
          <w:szCs w:val="28"/>
        </w:rPr>
        <w:t>Initial planning:</w:t>
      </w:r>
    </w:p>
    <w:p w:rsidR="00CA1F55" w:rsidRDefault="00CA1F55" w:rsidP="00CA1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7393" w:rsidRDefault="001F7393" w:rsidP="00CA1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Learning communities </w:t>
      </w:r>
      <w:r w:rsidR="00A4726D">
        <w:rPr>
          <w:rFonts w:ascii="Arial" w:hAnsi="Arial" w:cs="Arial"/>
        </w:rPr>
        <w:t xml:space="preserve">(LCs) </w:t>
      </w:r>
      <w:r>
        <w:rPr>
          <w:rFonts w:ascii="Arial" w:hAnsi="Arial" w:cs="Arial"/>
        </w:rPr>
        <w:t>combine diverse groups of professors and students in a collaborative and supportive environment centered on a common theme or</w:t>
      </w:r>
      <w:r w:rsidRPr="001F73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research question.</w:t>
      </w:r>
      <w:r w:rsidR="001165E5">
        <w:rPr>
          <w:rFonts w:ascii="Arial" w:hAnsi="Arial" w:cs="Arial"/>
        </w:rPr>
        <w:t xml:space="preserve"> COCC offers two learning community models: a </w:t>
      </w:r>
      <w:r w:rsidR="001165E5" w:rsidRPr="001165E5">
        <w:rPr>
          <w:rFonts w:ascii="Arial" w:hAnsi="Arial" w:cs="Arial"/>
          <w:b/>
        </w:rPr>
        <w:t>coordinated study model</w:t>
      </w:r>
      <w:r w:rsidR="001165E5">
        <w:rPr>
          <w:rFonts w:ascii="Arial" w:hAnsi="Arial" w:cs="Arial"/>
        </w:rPr>
        <w:t xml:space="preserve"> where instructors team-teach during a single time block or a </w:t>
      </w:r>
      <w:r w:rsidR="001165E5" w:rsidRPr="001165E5">
        <w:rPr>
          <w:rFonts w:ascii="Arial" w:hAnsi="Arial" w:cs="Arial"/>
          <w:b/>
        </w:rPr>
        <w:t>linked course model</w:t>
      </w:r>
      <w:r w:rsidR="001165E5">
        <w:rPr>
          <w:rFonts w:ascii="Arial" w:hAnsi="Arial" w:cs="Arial"/>
        </w:rPr>
        <w:t xml:space="preserve"> where instructors share a student cohort but teach in separate classrooms at separate times. </w:t>
      </w:r>
    </w:p>
    <w:p w:rsidR="000625D7" w:rsidRDefault="000625D7" w:rsidP="000625D7">
      <w:pPr>
        <w:pStyle w:val="NoSpacing"/>
        <w:rPr>
          <w:rFonts w:ascii="Arial" w:hAnsi="Arial" w:cs="Arial"/>
          <w:b/>
          <w:i/>
          <w:sz w:val="28"/>
          <w:szCs w:val="28"/>
        </w:rPr>
      </w:pPr>
    </w:p>
    <w:p w:rsidR="000625D7" w:rsidRDefault="000625D7" w:rsidP="000625D7">
      <w:pPr>
        <w:pStyle w:val="NoSpacing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Collaborative </w:t>
      </w:r>
      <w:r w:rsidRPr="00A4726D">
        <w:rPr>
          <w:rFonts w:ascii="Arial" w:hAnsi="Arial" w:cs="Arial"/>
          <w:b/>
          <w:i/>
          <w:sz w:val="28"/>
          <w:szCs w:val="28"/>
        </w:rPr>
        <w:t>Preparation</w:t>
      </w:r>
    </w:p>
    <w:p w:rsidR="000625D7" w:rsidRDefault="000625D7" w:rsidP="000625D7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Both coordinated study and linked LCs require a lot of diligent preparation and collaboration. </w:t>
      </w:r>
      <w:r>
        <w:rPr>
          <w:rFonts w:ascii="Arial" w:eastAsia="Times New Roman" w:hAnsi="Arial" w:cs="Arial"/>
          <w:color w:val="333333"/>
          <w:szCs w:val="28"/>
        </w:rPr>
        <w:t xml:space="preserve">As you prepare your LC, considering visiting an existing course or talking with </w:t>
      </w:r>
      <w:r w:rsidRPr="00B06746">
        <w:rPr>
          <w:rFonts w:ascii="Arial" w:eastAsia="Times New Roman" w:hAnsi="Arial" w:cs="Arial"/>
        </w:rPr>
        <w:t xml:space="preserve">faculty who have </w:t>
      </w:r>
      <w:r>
        <w:rPr>
          <w:rFonts w:ascii="Arial" w:eastAsia="Times New Roman" w:hAnsi="Arial" w:cs="Arial"/>
        </w:rPr>
        <w:t xml:space="preserve">already </w:t>
      </w:r>
      <w:r w:rsidRPr="00B06746">
        <w:rPr>
          <w:rFonts w:ascii="Arial" w:eastAsia="Times New Roman" w:hAnsi="Arial" w:cs="Arial"/>
        </w:rPr>
        <w:t>participated in Learning Communities about their experiences.</w:t>
      </w:r>
      <w:r>
        <w:rPr>
          <w:rFonts w:ascii="Arial" w:eastAsia="Times New Roman" w:hAnsi="Arial" w:cs="Arial"/>
        </w:rPr>
        <w:t xml:space="preserve"> Once you have selected a colleague or colleagues with whom you feel you will work well, start sketching out how you will link your courses</w:t>
      </w:r>
      <w:r w:rsidR="00412CC4">
        <w:rPr>
          <w:rFonts w:ascii="Arial" w:eastAsia="Times New Roman" w:hAnsi="Arial" w:cs="Arial"/>
        </w:rPr>
        <w:t xml:space="preserve"> using the following checklist</w:t>
      </w:r>
      <w:r>
        <w:rPr>
          <w:rFonts w:ascii="Arial" w:eastAsia="Times New Roman" w:hAnsi="Arial" w:cs="Arial"/>
        </w:rPr>
        <w:t>:</w:t>
      </w:r>
    </w:p>
    <w:p w:rsidR="002C343A" w:rsidRPr="002C343A" w:rsidRDefault="000625D7" w:rsidP="0041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C343A">
        <w:rPr>
          <w:rFonts w:ascii="Arial" w:eastAsia="Times New Roman" w:hAnsi="Arial" w:cs="Arial"/>
          <w:color w:val="000000" w:themeColor="text1"/>
        </w:rPr>
        <w:t xml:space="preserve">Decide if you </w:t>
      </w:r>
      <w:r w:rsidR="002C343A" w:rsidRPr="002C343A">
        <w:rPr>
          <w:rFonts w:ascii="Arial" w:eastAsia="Times New Roman" w:hAnsi="Arial" w:cs="Arial"/>
          <w:color w:val="000000" w:themeColor="text1"/>
        </w:rPr>
        <w:t>prefer</w:t>
      </w:r>
      <w:r w:rsidRPr="002C343A">
        <w:rPr>
          <w:rFonts w:ascii="Arial" w:eastAsia="Times New Roman" w:hAnsi="Arial" w:cs="Arial"/>
          <w:color w:val="000000" w:themeColor="text1"/>
        </w:rPr>
        <w:t xml:space="preserve"> a coordinated study community (team-taught) or a linked course community</w:t>
      </w:r>
      <w:r w:rsidR="002C343A" w:rsidRPr="002C343A">
        <w:rPr>
          <w:rFonts w:ascii="Arial" w:eastAsia="Times New Roman" w:hAnsi="Arial" w:cs="Arial"/>
          <w:color w:val="000000" w:themeColor="text1"/>
        </w:rPr>
        <w:t>.</w:t>
      </w:r>
    </w:p>
    <w:p w:rsidR="000625D7" w:rsidRPr="002C343A" w:rsidRDefault="000625D7" w:rsidP="0041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C343A">
        <w:rPr>
          <w:rFonts w:ascii="Arial" w:eastAsia="Times New Roman" w:hAnsi="Arial" w:cs="Arial"/>
          <w:color w:val="000000" w:themeColor="text1"/>
        </w:rPr>
        <w:t>Consider the viability of your offering</w:t>
      </w:r>
      <w:r w:rsidR="002C343A" w:rsidRPr="002C343A">
        <w:rPr>
          <w:rFonts w:ascii="Arial" w:eastAsia="Times New Roman" w:hAnsi="Arial" w:cs="Arial"/>
          <w:color w:val="000000" w:themeColor="text1"/>
        </w:rPr>
        <w:t xml:space="preserve">. </w:t>
      </w:r>
      <w:r w:rsidRPr="002C343A">
        <w:rPr>
          <w:rFonts w:ascii="Arial" w:eastAsia="Times New Roman" w:hAnsi="Arial" w:cs="Arial"/>
          <w:color w:val="000000" w:themeColor="text1"/>
        </w:rPr>
        <w:t>If possible, teach courses that are in the top 20 courses taken by first-time full-time students.</w:t>
      </w:r>
    </w:p>
    <w:p w:rsidR="002C343A" w:rsidRPr="002C343A" w:rsidRDefault="002C343A" w:rsidP="0041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C343A">
        <w:rPr>
          <w:rFonts w:ascii="Arial" w:eastAsia="Times New Roman" w:hAnsi="Arial" w:cs="Arial"/>
          <w:color w:val="000000" w:themeColor="text1"/>
        </w:rPr>
        <w:t>Share syllabi. Look for course outcomes and goals that are the same or similar.</w:t>
      </w:r>
    </w:p>
    <w:p w:rsidR="002C343A" w:rsidRPr="002C343A" w:rsidRDefault="002C343A" w:rsidP="0041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C343A">
        <w:rPr>
          <w:rFonts w:ascii="Arial" w:eastAsia="Times New Roman" w:hAnsi="Arial" w:cs="Arial"/>
          <w:color w:val="000000" w:themeColor="text1"/>
        </w:rPr>
        <w:t>Based on your common outcomes and goals, think about how you can combine course ins</w:t>
      </w:r>
      <w:r>
        <w:rPr>
          <w:rFonts w:ascii="Arial" w:eastAsia="Times New Roman" w:hAnsi="Arial" w:cs="Arial"/>
          <w:color w:val="000000" w:themeColor="text1"/>
        </w:rPr>
        <w:t>truction and course assignments.</w:t>
      </w:r>
    </w:p>
    <w:p w:rsidR="002C343A" w:rsidRPr="002C343A" w:rsidRDefault="002C343A" w:rsidP="00412CC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C343A">
        <w:rPr>
          <w:rFonts w:ascii="Arial" w:eastAsia="Times New Roman" w:hAnsi="Arial" w:cs="Arial"/>
          <w:color w:val="000000" w:themeColor="text1"/>
        </w:rPr>
        <w:t>Make a list of themes or research questions that satisfy the outcomes and goals of your shared courses.</w:t>
      </w:r>
    </w:p>
    <w:p w:rsidR="001165E5" w:rsidRPr="00412CC4" w:rsidRDefault="000625D7" w:rsidP="00412CC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Arial" w:hAnsi="Arial" w:cs="Arial"/>
        </w:rPr>
      </w:pPr>
      <w:r w:rsidRPr="00412CC4">
        <w:rPr>
          <w:rFonts w:ascii="Arial" w:eastAsia="Times New Roman" w:hAnsi="Arial" w:cs="Arial"/>
          <w:color w:val="000000" w:themeColor="text1"/>
        </w:rPr>
        <w:t>Discuss grading philosophies, evaluation methods, and ways to divide responsibilities</w:t>
      </w:r>
      <w:r w:rsidR="002C343A" w:rsidRPr="00412CC4">
        <w:rPr>
          <w:rFonts w:ascii="Arial" w:eastAsia="Times New Roman" w:hAnsi="Arial" w:cs="Arial"/>
          <w:color w:val="000000" w:themeColor="text1"/>
        </w:rPr>
        <w:t xml:space="preserve"> (e.g. Will </w:t>
      </w:r>
      <w:r w:rsidR="00412CC4" w:rsidRPr="00412CC4">
        <w:rPr>
          <w:rFonts w:ascii="Arial" w:eastAsia="Times New Roman" w:hAnsi="Arial" w:cs="Arial"/>
          <w:color w:val="000000" w:themeColor="text1"/>
        </w:rPr>
        <w:t>assignments for one course be dependent on assignments from another course? Will instructors share or have sep</w:t>
      </w:r>
      <w:r w:rsidR="00412CC4">
        <w:rPr>
          <w:rFonts w:ascii="Arial" w:eastAsia="Times New Roman" w:hAnsi="Arial" w:cs="Arial"/>
          <w:color w:val="000000" w:themeColor="text1"/>
        </w:rPr>
        <w:t>arate grading responsibilities?)</w:t>
      </w:r>
    </w:p>
    <w:p w:rsidR="00444B1E" w:rsidRPr="00A4726D" w:rsidRDefault="00444B1E" w:rsidP="00116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A4726D">
        <w:rPr>
          <w:rFonts w:ascii="Arial" w:hAnsi="Arial" w:cs="Arial"/>
          <w:b/>
          <w:i/>
          <w:sz w:val="28"/>
          <w:szCs w:val="28"/>
        </w:rPr>
        <w:t>Best Practices</w:t>
      </w:r>
    </w:p>
    <w:p w:rsidR="00DA7EFD" w:rsidRPr="002A0449" w:rsidRDefault="001165E5" w:rsidP="00116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most successful learning communities typically include existing courses that </w:t>
      </w:r>
      <w:r w:rsidR="00CA1F55" w:rsidRPr="002A0449">
        <w:rPr>
          <w:rFonts w:ascii="Arial" w:hAnsi="Arial" w:cs="Arial"/>
        </w:rPr>
        <w:t xml:space="preserve">that meet </w:t>
      </w:r>
      <w:r>
        <w:rPr>
          <w:rFonts w:ascii="Arial" w:hAnsi="Arial" w:cs="Arial"/>
        </w:rPr>
        <w:t xml:space="preserve">common </w:t>
      </w:r>
      <w:r w:rsidR="00CA1F55" w:rsidRPr="002A0449">
        <w:rPr>
          <w:rFonts w:ascii="Arial" w:hAnsi="Arial" w:cs="Arial"/>
        </w:rPr>
        <w:t>degree requirements or</w:t>
      </w:r>
      <w:r w:rsidR="00DA7EFD">
        <w:rPr>
          <w:rFonts w:ascii="Arial" w:hAnsi="Arial" w:cs="Arial"/>
        </w:rPr>
        <w:t xml:space="preserve"> </w:t>
      </w:r>
      <w:r w:rsidR="00CA1F55" w:rsidRPr="002A0449">
        <w:rPr>
          <w:rFonts w:ascii="Arial" w:hAnsi="Arial" w:cs="Arial"/>
        </w:rPr>
        <w:t>that support other student</w:t>
      </w:r>
      <w:r>
        <w:rPr>
          <w:rFonts w:ascii="Arial" w:hAnsi="Arial" w:cs="Arial"/>
        </w:rPr>
        <w:t xml:space="preserve"> success and retention</w:t>
      </w:r>
      <w:r w:rsidR="00CA1F55" w:rsidRPr="002A0449">
        <w:rPr>
          <w:rFonts w:ascii="Arial" w:hAnsi="Arial" w:cs="Arial"/>
        </w:rPr>
        <w:t xml:space="preserve"> goals.</w:t>
      </w:r>
      <w:r>
        <w:rPr>
          <w:rFonts w:ascii="Arial" w:hAnsi="Arial" w:cs="Arial"/>
        </w:rPr>
        <w:t xml:space="preserve"> The following best practices may also contribute to the success of your proposed learning community:</w:t>
      </w:r>
    </w:p>
    <w:p w:rsidR="00444B1E" w:rsidRDefault="00444B1E" w:rsidP="00444B1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Assign your community a creative title that will attract students and provide a term-long focus for them (e.g. a writing and a sociology community might be titled “</w:t>
      </w:r>
      <w:r>
        <w:rPr>
          <w:rFonts w:ascii="Arial" w:hAnsi="Arial" w:cs="Arial"/>
          <w:i/>
        </w:rPr>
        <w:t>Lost</w:t>
      </w:r>
      <w:r>
        <w:rPr>
          <w:rFonts w:ascii="Arial" w:hAnsi="Arial" w:cs="Arial"/>
        </w:rPr>
        <w:t>: The Televised Mind,” a philosophy and literature community might be titled “The American Way: How We Choose What We Want to Believe”).</w:t>
      </w:r>
    </w:p>
    <w:p w:rsidR="001165E5" w:rsidRDefault="00352B8D" w:rsidP="00352B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</w:rPr>
      </w:pPr>
      <w:r w:rsidRPr="00352B8D">
        <w:rPr>
          <w:rFonts w:ascii="Arial" w:hAnsi="Arial" w:cs="Arial"/>
        </w:rPr>
        <w:t>C</w:t>
      </w:r>
      <w:r>
        <w:rPr>
          <w:rFonts w:ascii="Arial" w:hAnsi="Arial" w:cs="Arial"/>
        </w:rPr>
        <w:t>hoose a theme that promotes student-centered or problem-centered learning</w:t>
      </w:r>
      <w:r w:rsidR="00444B1E">
        <w:rPr>
          <w:rFonts w:ascii="Arial" w:hAnsi="Arial" w:cs="Arial"/>
        </w:rPr>
        <w:t xml:space="preserve">; center </w:t>
      </w:r>
      <w:r w:rsidRPr="00352B8D">
        <w:rPr>
          <w:rFonts w:ascii="Arial" w:hAnsi="Arial" w:cs="Arial"/>
        </w:rPr>
        <w:t xml:space="preserve">your community on a common theme that students may explore or a research question that students </w:t>
      </w:r>
      <w:r w:rsidR="00444B1E">
        <w:rPr>
          <w:rFonts w:ascii="Arial" w:hAnsi="Arial" w:cs="Arial"/>
        </w:rPr>
        <w:t>may answer from a variety of perspectives.</w:t>
      </w:r>
    </w:p>
    <w:p w:rsidR="00444B1E" w:rsidRPr="00444B1E" w:rsidRDefault="00444B1E" w:rsidP="00352B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</w:rPr>
      </w:pPr>
      <w:r w:rsidRPr="00444B1E">
        <w:rPr>
          <w:rFonts w:ascii="Arial" w:hAnsi="Arial" w:cs="Arial"/>
        </w:rPr>
        <w:t>Focus on interdisciplinary collaboration (e.g. design group projects that integrate the content of multiple courses, emphasize as instructors the connections between your fields).</w:t>
      </w:r>
    </w:p>
    <w:p w:rsidR="00444B1E" w:rsidRDefault="00444B1E" w:rsidP="00352B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Look for experiential learning opportunities (e.g. field trips, visits to campus resource centers, guest speakers).</w:t>
      </w:r>
    </w:p>
    <w:p w:rsidR="002C343A" w:rsidRPr="00412CC4" w:rsidRDefault="00412CC4" w:rsidP="002C343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  <w:sz w:val="28"/>
        </w:rPr>
      </w:pPr>
      <w:r w:rsidRPr="00412CC4">
        <w:rPr>
          <w:rFonts w:ascii="Arial" w:hAnsi="Arial" w:cs="Arial"/>
          <w:b/>
          <w:i/>
          <w:sz w:val="28"/>
        </w:rPr>
        <w:t>Administrative Considerations</w:t>
      </w:r>
    </w:p>
    <w:p w:rsidR="002C343A" w:rsidRPr="002C343A" w:rsidRDefault="00412CC4" w:rsidP="00412CC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LCs can present unique challenges pertaining to scheduling and workload. Be sure to coordinate your plans as early as possible with your Department Chair</w:t>
      </w:r>
      <w:r w:rsidR="00CF4BA0">
        <w:rPr>
          <w:rFonts w:ascii="Arial" w:eastAsia="Times New Roman" w:hAnsi="Arial" w:cs="Arial"/>
          <w:color w:val="000000" w:themeColor="text1"/>
        </w:rPr>
        <w:t xml:space="preserve"> and appropriate Dean</w:t>
      </w:r>
      <w:r>
        <w:rPr>
          <w:rFonts w:ascii="Arial" w:eastAsia="Times New Roman" w:hAnsi="Arial" w:cs="Arial"/>
          <w:color w:val="000000" w:themeColor="text1"/>
        </w:rPr>
        <w:t>. Also, d</w:t>
      </w:r>
      <w:r w:rsidR="002C343A" w:rsidRPr="00412CC4">
        <w:rPr>
          <w:rFonts w:ascii="Arial" w:eastAsia="Times New Roman" w:hAnsi="Arial" w:cs="Arial"/>
          <w:color w:val="000000" w:themeColor="text1"/>
        </w:rPr>
        <w:t>etermine scheduling and classroom needs</w:t>
      </w:r>
      <w:r>
        <w:rPr>
          <w:rFonts w:ascii="Arial" w:eastAsia="Times New Roman" w:hAnsi="Arial" w:cs="Arial"/>
          <w:color w:val="000000" w:themeColor="text1"/>
        </w:rPr>
        <w:t xml:space="preserve"> early, and d</w:t>
      </w:r>
      <w:r w:rsidR="002C343A" w:rsidRPr="00412CC4">
        <w:rPr>
          <w:rFonts w:ascii="Arial" w:eastAsia="Times New Roman" w:hAnsi="Arial" w:cs="Arial"/>
          <w:color w:val="000000" w:themeColor="text1"/>
        </w:rPr>
        <w:t>iscuss these issues with administrative assistant staff</w:t>
      </w:r>
      <w:r>
        <w:rPr>
          <w:rFonts w:ascii="Arial" w:eastAsia="Times New Roman" w:hAnsi="Arial" w:cs="Arial"/>
          <w:color w:val="000000" w:themeColor="text1"/>
        </w:rPr>
        <w:t>, who may not yet be familiar with LC scheduling needs</w:t>
      </w:r>
      <w:r w:rsidR="002C343A" w:rsidRPr="00412CC4">
        <w:rPr>
          <w:rFonts w:ascii="Arial" w:eastAsia="Times New Roman" w:hAnsi="Arial" w:cs="Arial"/>
          <w:color w:val="000000" w:themeColor="text1"/>
        </w:rPr>
        <w:t>.</w:t>
      </w:r>
      <w:r w:rsidRPr="002C343A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Finally, c</w:t>
      </w:r>
      <w:r w:rsidR="002C343A" w:rsidRPr="002C343A">
        <w:rPr>
          <w:rFonts w:ascii="Arial" w:eastAsia="Times New Roman" w:hAnsi="Arial" w:cs="Arial"/>
          <w:color w:val="000000" w:themeColor="text1"/>
        </w:rPr>
        <w:t xml:space="preserve">heck for potential </w:t>
      </w:r>
      <w:r w:rsidR="00CF4BA0">
        <w:rPr>
          <w:rFonts w:ascii="Arial" w:eastAsia="Times New Roman" w:hAnsi="Arial" w:cs="Arial"/>
          <w:color w:val="000000" w:themeColor="text1"/>
        </w:rPr>
        <w:t xml:space="preserve">scheduling </w:t>
      </w:r>
      <w:r w:rsidR="002C343A" w:rsidRPr="002C343A">
        <w:rPr>
          <w:rFonts w:ascii="Arial" w:eastAsia="Times New Roman" w:hAnsi="Arial" w:cs="Arial"/>
          <w:color w:val="000000" w:themeColor="text1"/>
        </w:rPr>
        <w:t xml:space="preserve">conflicts that would affect enrollment in your community or impact another learning community. </w:t>
      </w:r>
    </w:p>
    <w:p w:rsidR="00412CC4" w:rsidRPr="00412CC4" w:rsidRDefault="00412CC4" w:rsidP="002C34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333333"/>
          <w:sz w:val="28"/>
        </w:rPr>
      </w:pPr>
      <w:r w:rsidRPr="00412CC4">
        <w:rPr>
          <w:rFonts w:ascii="Arial" w:eastAsia="Times New Roman" w:hAnsi="Arial" w:cs="Arial"/>
          <w:b/>
          <w:i/>
          <w:color w:val="333333"/>
          <w:sz w:val="28"/>
        </w:rPr>
        <w:t>Application and Further Preparation</w:t>
      </w:r>
    </w:p>
    <w:p w:rsidR="002C343A" w:rsidRDefault="00412CC4" w:rsidP="002C34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412CC4">
        <w:rPr>
          <w:rFonts w:ascii="Arial" w:eastAsia="Times New Roman" w:hAnsi="Arial" w:cs="Arial"/>
          <w:b/>
          <w:color w:val="333333"/>
        </w:rPr>
        <w:t>Please fill out the accompanying application with the colleague(s) with whom you plan to coordinate your LC.</w:t>
      </w:r>
      <w:r>
        <w:rPr>
          <w:rFonts w:ascii="Arial" w:eastAsia="Times New Roman" w:hAnsi="Arial" w:cs="Arial"/>
          <w:color w:val="333333"/>
        </w:rPr>
        <w:t xml:space="preserve"> Once your application has been approved, besides preparing the day-to-day activities of your courses, you will immediately need to consider how you will advertise your courses to students: </w:t>
      </w:r>
    </w:p>
    <w:p w:rsidR="002C343A" w:rsidRPr="002A0449" w:rsidRDefault="002C343A" w:rsidP="00412CC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C56607">
        <w:rPr>
          <w:rFonts w:ascii="Arial" w:eastAsia="Times New Roman" w:hAnsi="Arial" w:cs="Arial"/>
          <w:color w:val="333333"/>
        </w:rPr>
        <w:t xml:space="preserve">Prepare descriptive information for class schedules. </w:t>
      </w:r>
    </w:p>
    <w:p w:rsidR="002C343A" w:rsidRPr="00C56607" w:rsidRDefault="002C343A" w:rsidP="00412CC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C56607">
        <w:rPr>
          <w:rFonts w:ascii="Arial" w:eastAsia="Times New Roman" w:hAnsi="Arial" w:cs="Arial"/>
          <w:color w:val="333333"/>
        </w:rPr>
        <w:t xml:space="preserve">Make publicity decisions (flyers? posters? visits to classes? </w:t>
      </w:r>
      <w:r>
        <w:rPr>
          <w:rFonts w:ascii="Arial" w:eastAsia="Times New Roman" w:hAnsi="Arial" w:cs="Arial"/>
          <w:color w:val="333333"/>
        </w:rPr>
        <w:t>)</w:t>
      </w:r>
      <w:r w:rsidRPr="00C56607">
        <w:rPr>
          <w:rFonts w:ascii="Arial" w:eastAsia="Times New Roman" w:hAnsi="Arial" w:cs="Arial"/>
          <w:color w:val="333333"/>
        </w:rPr>
        <w:t xml:space="preserve"> </w:t>
      </w:r>
    </w:p>
    <w:p w:rsidR="002C343A" w:rsidRPr="00C56607" w:rsidRDefault="002C343A" w:rsidP="00412CC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C56607">
        <w:rPr>
          <w:rFonts w:ascii="Arial" w:eastAsia="Times New Roman" w:hAnsi="Arial" w:cs="Arial"/>
          <w:color w:val="333333"/>
        </w:rPr>
        <w:t>Check on the registration process for your Learning Community</w:t>
      </w:r>
      <w:r>
        <w:rPr>
          <w:rFonts w:ascii="Arial" w:eastAsia="Times New Roman" w:hAnsi="Arial" w:cs="Arial"/>
          <w:color w:val="333333"/>
        </w:rPr>
        <w:t xml:space="preserve"> with Admissions and Records</w:t>
      </w:r>
      <w:r w:rsidRPr="00C56607">
        <w:rPr>
          <w:rFonts w:ascii="Arial" w:eastAsia="Times New Roman" w:hAnsi="Arial" w:cs="Arial"/>
          <w:color w:val="333333"/>
        </w:rPr>
        <w:t xml:space="preserve">; make sure you understand how registration will work for your community's configuration. </w:t>
      </w:r>
    </w:p>
    <w:p w:rsidR="002C343A" w:rsidRPr="00C56607" w:rsidRDefault="002C343A" w:rsidP="00412CC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2A0449">
        <w:rPr>
          <w:rFonts w:ascii="Arial" w:eastAsia="Times New Roman" w:hAnsi="Arial" w:cs="Arial"/>
          <w:color w:val="333333"/>
        </w:rPr>
        <w:t>Meet with advising staff and others</w:t>
      </w:r>
      <w:r w:rsidRPr="00C56607">
        <w:rPr>
          <w:rFonts w:ascii="Arial" w:eastAsia="Times New Roman" w:hAnsi="Arial" w:cs="Arial"/>
          <w:color w:val="333333"/>
        </w:rPr>
        <w:t xml:space="preserve"> who advise students in appropriate academic areas</w:t>
      </w:r>
      <w:r w:rsidRPr="002A0449">
        <w:rPr>
          <w:rFonts w:ascii="Arial" w:eastAsia="Times New Roman" w:hAnsi="Arial" w:cs="Arial"/>
          <w:color w:val="333333"/>
        </w:rPr>
        <w:t xml:space="preserve">, </w:t>
      </w:r>
      <w:r>
        <w:rPr>
          <w:rFonts w:ascii="Arial" w:eastAsia="Times New Roman" w:hAnsi="Arial" w:cs="Arial"/>
          <w:color w:val="333333"/>
        </w:rPr>
        <w:t xml:space="preserve">(e.g. </w:t>
      </w:r>
      <w:r w:rsidRPr="00C56607">
        <w:rPr>
          <w:rFonts w:ascii="Arial" w:eastAsia="Times New Roman" w:hAnsi="Arial" w:cs="Arial"/>
          <w:color w:val="333333"/>
        </w:rPr>
        <w:t>Disability Services</w:t>
      </w:r>
      <w:r>
        <w:rPr>
          <w:rFonts w:ascii="Arial" w:eastAsia="Times New Roman" w:hAnsi="Arial" w:cs="Arial"/>
          <w:color w:val="333333"/>
        </w:rPr>
        <w:t>, Veterans' Office</w:t>
      </w:r>
      <w:r w:rsidRPr="002A0449">
        <w:rPr>
          <w:rFonts w:ascii="Arial" w:eastAsia="Times New Roman" w:hAnsi="Arial" w:cs="Arial"/>
          <w:color w:val="333333"/>
        </w:rPr>
        <w:t>, etc</w:t>
      </w:r>
      <w:r>
        <w:rPr>
          <w:rFonts w:ascii="Arial" w:eastAsia="Times New Roman" w:hAnsi="Arial" w:cs="Arial"/>
          <w:color w:val="333333"/>
        </w:rPr>
        <w:t>.)</w:t>
      </w:r>
    </w:p>
    <w:p w:rsidR="002C343A" w:rsidRPr="002A0449" w:rsidRDefault="002C343A" w:rsidP="00412CC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C56607">
        <w:rPr>
          <w:rFonts w:ascii="Arial" w:eastAsia="Times New Roman" w:hAnsi="Arial" w:cs="Arial"/>
          <w:color w:val="333333"/>
        </w:rPr>
        <w:t xml:space="preserve">Well before registration starts, begin publicizing your learning community to staff and students. </w:t>
      </w:r>
    </w:p>
    <w:p w:rsidR="005F3E8D" w:rsidRPr="002A0449" w:rsidRDefault="005F3E8D" w:rsidP="005F3E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</w:p>
    <w:p w:rsidR="005F3E8D" w:rsidRPr="002A0449" w:rsidRDefault="005F3E8D" w:rsidP="005F3E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</w:p>
    <w:p w:rsidR="005F3E8D" w:rsidRPr="002A0449" w:rsidRDefault="005F3E8D" w:rsidP="005F3E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</w:p>
    <w:p w:rsidR="005F3E8D" w:rsidRPr="002A0449" w:rsidRDefault="005F3E8D" w:rsidP="005F3E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</w:p>
    <w:p w:rsidR="005F3E8D" w:rsidRPr="002A0449" w:rsidRDefault="005F3E8D" w:rsidP="005F3E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</w:p>
    <w:p w:rsidR="005F3E8D" w:rsidRPr="002A0449" w:rsidRDefault="005F3E8D" w:rsidP="005F3E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</w:p>
    <w:p w:rsidR="005F3E8D" w:rsidRPr="002A0449" w:rsidRDefault="005F3E8D" w:rsidP="005F3E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</w:p>
    <w:p w:rsidR="005F3E8D" w:rsidRPr="002A0449" w:rsidRDefault="005F3E8D" w:rsidP="005F3E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</w:p>
    <w:p w:rsidR="005F3E8D" w:rsidRPr="002A0449" w:rsidRDefault="005F3E8D" w:rsidP="005F3E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</w:p>
    <w:p w:rsidR="003E40D4" w:rsidRPr="002A0449" w:rsidRDefault="003E40D4" w:rsidP="003E40D4">
      <w:pPr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3E40D4" w:rsidRPr="002A0449" w:rsidSect="0089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A95D9"/>
    <w:multiLevelType w:val="hybridMultilevel"/>
    <w:tmpl w:val="A7A049D2"/>
    <w:lvl w:ilvl="0" w:tplc="5072A9BA">
      <w:start w:val="1"/>
      <w:numFmt w:val="lowerLetter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8A18C3"/>
    <w:multiLevelType w:val="multilevel"/>
    <w:tmpl w:val="4908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C1A08"/>
    <w:multiLevelType w:val="hybridMultilevel"/>
    <w:tmpl w:val="C0C00D82"/>
    <w:lvl w:ilvl="0" w:tplc="EEC82B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45AA6"/>
    <w:multiLevelType w:val="hybridMultilevel"/>
    <w:tmpl w:val="A6F4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82000"/>
    <w:multiLevelType w:val="multilevel"/>
    <w:tmpl w:val="9E12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8344A"/>
    <w:multiLevelType w:val="multilevel"/>
    <w:tmpl w:val="6B84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7768A"/>
    <w:multiLevelType w:val="multilevel"/>
    <w:tmpl w:val="0FEE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72505"/>
    <w:multiLevelType w:val="multilevel"/>
    <w:tmpl w:val="E3CA6B3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E42BA"/>
    <w:multiLevelType w:val="multilevel"/>
    <w:tmpl w:val="4DB4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747FC"/>
    <w:multiLevelType w:val="multilevel"/>
    <w:tmpl w:val="8E12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C1004"/>
    <w:multiLevelType w:val="hybridMultilevel"/>
    <w:tmpl w:val="1B2CB8E8"/>
    <w:lvl w:ilvl="0" w:tplc="69FA073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053F0"/>
    <w:multiLevelType w:val="hybridMultilevel"/>
    <w:tmpl w:val="B83ED09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2">
    <w:nsid w:val="72A911CC"/>
    <w:multiLevelType w:val="hybridMultilevel"/>
    <w:tmpl w:val="CDBE7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B16A7"/>
    <w:multiLevelType w:val="hybridMultilevel"/>
    <w:tmpl w:val="CAC6C04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CBF75B0"/>
    <w:multiLevelType w:val="hybridMultilevel"/>
    <w:tmpl w:val="8378126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4A56E0"/>
    <w:multiLevelType w:val="hybridMultilevel"/>
    <w:tmpl w:val="3A343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27712"/>
    <w:multiLevelType w:val="multilevel"/>
    <w:tmpl w:val="A1B8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2"/>
  </w:num>
  <w:num w:numId="5">
    <w:abstractNumId w:val="1"/>
  </w:num>
  <w:num w:numId="6">
    <w:abstractNumId w:val="16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10"/>
  </w:num>
  <w:num w:numId="12">
    <w:abstractNumId w:val="0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5"/>
    <w:rsid w:val="000376AA"/>
    <w:rsid w:val="000625D7"/>
    <w:rsid w:val="0006475B"/>
    <w:rsid w:val="000F6BCE"/>
    <w:rsid w:val="001165E5"/>
    <w:rsid w:val="001F7393"/>
    <w:rsid w:val="00282CB9"/>
    <w:rsid w:val="002A0449"/>
    <w:rsid w:val="002C343A"/>
    <w:rsid w:val="00301341"/>
    <w:rsid w:val="00352B8D"/>
    <w:rsid w:val="00353D87"/>
    <w:rsid w:val="00385307"/>
    <w:rsid w:val="003B3CF8"/>
    <w:rsid w:val="003E40D4"/>
    <w:rsid w:val="003F1FCE"/>
    <w:rsid w:val="00412C4A"/>
    <w:rsid w:val="00412CC4"/>
    <w:rsid w:val="00444B1E"/>
    <w:rsid w:val="004A207C"/>
    <w:rsid w:val="00512BBB"/>
    <w:rsid w:val="005F23BA"/>
    <w:rsid w:val="005F3E8D"/>
    <w:rsid w:val="00602D73"/>
    <w:rsid w:val="006142FC"/>
    <w:rsid w:val="00671957"/>
    <w:rsid w:val="006A54AC"/>
    <w:rsid w:val="006A7F9F"/>
    <w:rsid w:val="007073F2"/>
    <w:rsid w:val="0073792D"/>
    <w:rsid w:val="007854EA"/>
    <w:rsid w:val="007C7620"/>
    <w:rsid w:val="007E27E7"/>
    <w:rsid w:val="00840D2D"/>
    <w:rsid w:val="0085782E"/>
    <w:rsid w:val="008864AB"/>
    <w:rsid w:val="00890CC4"/>
    <w:rsid w:val="008D2416"/>
    <w:rsid w:val="00951FDD"/>
    <w:rsid w:val="00A4726D"/>
    <w:rsid w:val="00A80D46"/>
    <w:rsid w:val="00AB0060"/>
    <w:rsid w:val="00AC1B08"/>
    <w:rsid w:val="00B02292"/>
    <w:rsid w:val="00B047FF"/>
    <w:rsid w:val="00B06746"/>
    <w:rsid w:val="00C04FB5"/>
    <w:rsid w:val="00C43596"/>
    <w:rsid w:val="00C5249B"/>
    <w:rsid w:val="00C56607"/>
    <w:rsid w:val="00CA1F55"/>
    <w:rsid w:val="00CA6713"/>
    <w:rsid w:val="00CF44E3"/>
    <w:rsid w:val="00CF4BA0"/>
    <w:rsid w:val="00CF59D1"/>
    <w:rsid w:val="00D1606A"/>
    <w:rsid w:val="00D4400E"/>
    <w:rsid w:val="00DA4BAE"/>
    <w:rsid w:val="00DA7EFD"/>
    <w:rsid w:val="00DB466A"/>
    <w:rsid w:val="00E0257A"/>
    <w:rsid w:val="00F44642"/>
    <w:rsid w:val="00F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6607"/>
    <w:rPr>
      <w:i/>
      <w:iCs/>
    </w:rPr>
  </w:style>
  <w:style w:type="paragraph" w:styleId="ListParagraph">
    <w:name w:val="List Paragraph"/>
    <w:basedOn w:val="Normal"/>
    <w:uiPriority w:val="34"/>
    <w:qFormat/>
    <w:rsid w:val="00C56607"/>
    <w:pPr>
      <w:ind w:left="720"/>
      <w:contextualSpacing/>
    </w:pPr>
  </w:style>
  <w:style w:type="paragraph" w:customStyle="1" w:styleId="Default">
    <w:name w:val="Default"/>
    <w:rsid w:val="007E2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43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7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6607"/>
    <w:rPr>
      <w:i/>
      <w:iCs/>
    </w:rPr>
  </w:style>
  <w:style w:type="paragraph" w:styleId="ListParagraph">
    <w:name w:val="List Paragraph"/>
    <w:basedOn w:val="Normal"/>
    <w:uiPriority w:val="34"/>
    <w:qFormat/>
    <w:rsid w:val="00C56607"/>
    <w:pPr>
      <w:ind w:left="720"/>
      <w:contextualSpacing/>
    </w:pPr>
  </w:style>
  <w:style w:type="paragraph" w:customStyle="1" w:styleId="Default">
    <w:name w:val="Default"/>
    <w:rsid w:val="007E2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43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7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139F-2A1B-4232-A9B1-3AC828FC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Jacob Agatucci</cp:lastModifiedBy>
  <cp:revision>2</cp:revision>
  <cp:lastPrinted>2012-02-23T18:51:00Z</cp:lastPrinted>
  <dcterms:created xsi:type="dcterms:W3CDTF">2014-03-03T19:51:00Z</dcterms:created>
  <dcterms:modified xsi:type="dcterms:W3CDTF">2014-03-03T19:51:00Z</dcterms:modified>
</cp:coreProperties>
</file>