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44"/>
          <w:szCs w:val="44"/>
        </w:rPr>
      </w:pPr>
      <w:r w:rsidRPr="002C5C35">
        <w:rPr>
          <w:rFonts w:ascii="Century Gothic" w:hAnsi="Century Gothic" w:cs="Century Gothic"/>
          <w:b/>
          <w:bCs/>
          <w:color w:val="365F92"/>
          <w:sz w:val="44"/>
          <w:szCs w:val="44"/>
        </w:rPr>
        <w:t>COCC’s 2013-2018 Strategic Plan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32"/>
          <w:szCs w:val="32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32"/>
          <w:szCs w:val="32"/>
        </w:rPr>
      </w:pPr>
      <w:r w:rsidRPr="002C5C35">
        <w:rPr>
          <w:rFonts w:ascii="Century Gothic" w:hAnsi="Century Gothic" w:cs="Century Gothic"/>
          <w:b/>
          <w:bCs/>
          <w:noProof/>
          <w:color w:val="365F92"/>
          <w:sz w:val="32"/>
          <w:szCs w:val="32"/>
        </w:rPr>
        <w:drawing>
          <wp:inline distT="0" distB="0" distL="0" distR="0">
            <wp:extent cx="3587909" cy="3510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40" cy="35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32"/>
          <w:szCs w:val="32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>Our Mission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Central Oregon Community College promotes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student</w:t>
      </w:r>
      <w:proofErr w:type="gramEnd"/>
      <w:r>
        <w:rPr>
          <w:rFonts w:ascii="Century Gothic" w:hAnsi="Century Gothic" w:cs="Century Gothic"/>
          <w:color w:val="000000"/>
        </w:rPr>
        <w:t xml:space="preserve"> success and community enrichment by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providing</w:t>
      </w:r>
      <w:proofErr w:type="gramEnd"/>
      <w:r>
        <w:rPr>
          <w:rFonts w:ascii="Century Gothic" w:hAnsi="Century Gothic" w:cs="Century Gothic"/>
          <w:color w:val="000000"/>
        </w:rPr>
        <w:t xml:space="preserve"> quality, accessible, lifelong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educational</w:t>
      </w:r>
      <w:proofErr w:type="gramEnd"/>
      <w:r>
        <w:rPr>
          <w:rFonts w:ascii="Century Gothic" w:hAnsi="Century Gothic" w:cs="Century Gothic"/>
          <w:color w:val="000000"/>
        </w:rPr>
        <w:t xml:space="preserve"> opportunities.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>Our Vision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To achieve student success and community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enrichment</w:t>
      </w:r>
      <w:proofErr w:type="gramEnd"/>
      <w:r>
        <w:rPr>
          <w:rFonts w:ascii="Century Gothic" w:hAnsi="Century Gothic" w:cs="Century Gothic"/>
          <w:color w:val="000000"/>
        </w:rPr>
        <w:t>, COCC fosters student completion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of</w:t>
      </w:r>
      <w:proofErr w:type="gramEnd"/>
      <w:r>
        <w:rPr>
          <w:rFonts w:ascii="Century Gothic" w:hAnsi="Century Gothic" w:cs="Century Gothic"/>
          <w:color w:val="000000"/>
        </w:rPr>
        <w:t xml:space="preserve"> academic goals, prepares students for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employment</w:t>
      </w:r>
      <w:proofErr w:type="gramEnd"/>
      <w:r>
        <w:rPr>
          <w:rFonts w:ascii="Century Gothic" w:hAnsi="Century Gothic" w:cs="Century Gothic"/>
          <w:color w:val="000000"/>
        </w:rPr>
        <w:t>, assists regional employers and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promotes</w:t>
      </w:r>
      <w:proofErr w:type="gramEnd"/>
      <w:r>
        <w:rPr>
          <w:rFonts w:ascii="Century Gothic" w:hAnsi="Century Gothic" w:cs="Century Gothic"/>
          <w:color w:val="000000"/>
        </w:rPr>
        <w:t xml:space="preserve"> equitable achievement for the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diverse</w:t>
      </w:r>
      <w:proofErr w:type="gramEnd"/>
      <w:r>
        <w:rPr>
          <w:rFonts w:ascii="Century Gothic" w:hAnsi="Century Gothic" w:cs="Century Gothic"/>
          <w:color w:val="000000"/>
        </w:rPr>
        <w:t xml:space="preserve"> students and communities we serve.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>COCC Values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Student Focused in All That We Do Reputation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Open Door Philosophy External Connections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Caliber of Faculty and Staff Internal Connections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Diversity Campus Traditions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Comprehensive Services Work/Life Balance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Innovation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365F92"/>
          <w:sz w:val="36"/>
          <w:szCs w:val="36"/>
        </w:rPr>
      </w:pPr>
      <w:r w:rsidRPr="002C5C35">
        <w:rPr>
          <w:rFonts w:ascii="Century Gothic" w:hAnsi="Century Gothic" w:cs="Century Gothic"/>
          <w:b/>
          <w:bCs/>
          <w:color w:val="365F92"/>
          <w:sz w:val="36"/>
          <w:szCs w:val="36"/>
        </w:rPr>
        <w:t>Themes &amp; Strategic Objectives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</w:pPr>
      <w:r w:rsidRPr="002C5C35"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  <w:t>Institutional Sustainability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Students will have the opportunity to be successful beca</w:t>
      </w:r>
      <w:r>
        <w:rPr>
          <w:rFonts w:ascii="Century Gothic" w:hAnsi="Century Gothic" w:cs="Century Gothic"/>
          <w:color w:val="000000"/>
        </w:rPr>
        <w:t xml:space="preserve">use the College has planned and </w:t>
      </w:r>
      <w:r>
        <w:rPr>
          <w:rFonts w:ascii="Century Gothic" w:hAnsi="Century Gothic" w:cs="Century Gothic"/>
          <w:color w:val="000000"/>
        </w:rPr>
        <w:t>invested appropriately to ensure sustainability of high quality pr</w:t>
      </w:r>
      <w:r>
        <w:rPr>
          <w:rFonts w:ascii="Century Gothic" w:hAnsi="Century Gothic" w:cs="Century Gothic"/>
          <w:color w:val="000000"/>
        </w:rPr>
        <w:t xml:space="preserve">ograms, services and facilities </w:t>
      </w:r>
      <w:r>
        <w:rPr>
          <w:rFonts w:ascii="Century Gothic" w:hAnsi="Century Gothic" w:cs="Century Gothic"/>
          <w:color w:val="000000"/>
        </w:rPr>
        <w:t>that support student learning and educational achievement.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IS.1 </w:t>
      </w:r>
      <w:r>
        <w:rPr>
          <w:rFonts w:ascii="Century Gothic" w:hAnsi="Century Gothic" w:cs="Century Gothic"/>
          <w:color w:val="000000"/>
        </w:rPr>
        <w:t>Expand and refine data, research and assessment systems and infrastructure to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support</w:t>
      </w:r>
      <w:proofErr w:type="gramEnd"/>
      <w:r>
        <w:rPr>
          <w:rFonts w:ascii="Century Gothic" w:hAnsi="Century Gothic" w:cs="Century Gothic"/>
          <w:color w:val="000000"/>
        </w:rPr>
        <w:t xml:space="preserve"> student success.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IS.2 </w:t>
      </w:r>
      <w:r>
        <w:rPr>
          <w:rFonts w:ascii="Century Gothic" w:hAnsi="Century Gothic" w:cs="Century Gothic"/>
          <w:color w:val="000000"/>
        </w:rPr>
        <w:t>Increase meaningful partnerships to improve COCC’s effectiveness and positive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impact</w:t>
      </w:r>
      <w:proofErr w:type="gramEnd"/>
      <w:r>
        <w:rPr>
          <w:rFonts w:ascii="Century Gothic" w:hAnsi="Century Gothic" w:cs="Century Gothic"/>
          <w:color w:val="000000"/>
        </w:rPr>
        <w:t xml:space="preserve"> in the region.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IS.3 </w:t>
      </w:r>
      <w:r>
        <w:rPr>
          <w:rFonts w:ascii="Century Gothic" w:hAnsi="Century Gothic" w:cs="Century Gothic"/>
          <w:color w:val="000000"/>
        </w:rPr>
        <w:t xml:space="preserve">Develop a scalable approach to assessing student </w:t>
      </w:r>
      <w:r>
        <w:rPr>
          <w:rFonts w:ascii="Century Gothic" w:hAnsi="Century Gothic" w:cs="Century Gothic"/>
          <w:color w:val="000000"/>
        </w:rPr>
        <w:t xml:space="preserve">learning at the degree, program </w:t>
      </w:r>
      <w:r>
        <w:rPr>
          <w:rFonts w:ascii="Century Gothic" w:hAnsi="Century Gothic" w:cs="Century Gothic"/>
          <w:color w:val="000000"/>
        </w:rPr>
        <w:t>and course levels.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IS.4 </w:t>
      </w:r>
      <w:r>
        <w:rPr>
          <w:rFonts w:ascii="Century Gothic" w:hAnsi="Century Gothic" w:cs="Century Gothic"/>
          <w:color w:val="000000"/>
        </w:rPr>
        <w:t>Strategically pursue funding options, both traditional an</w:t>
      </w:r>
      <w:r>
        <w:rPr>
          <w:rFonts w:ascii="Century Gothic" w:hAnsi="Century Gothic" w:cs="Century Gothic"/>
          <w:color w:val="000000"/>
        </w:rPr>
        <w:t xml:space="preserve">d alternative, to ensure fiscal </w:t>
      </w:r>
      <w:r>
        <w:rPr>
          <w:rFonts w:ascii="Century Gothic" w:hAnsi="Century Gothic" w:cs="Century Gothic"/>
          <w:color w:val="000000"/>
        </w:rPr>
        <w:t>sustainability.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IS.5 </w:t>
      </w:r>
      <w:r>
        <w:rPr>
          <w:rFonts w:ascii="Century Gothic" w:hAnsi="Century Gothic" w:cs="Century Gothic"/>
          <w:color w:val="000000"/>
        </w:rPr>
        <w:t>Further develop and enhance employees and operational systems to ensure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institutional</w:t>
      </w:r>
      <w:proofErr w:type="gramEnd"/>
      <w:r>
        <w:rPr>
          <w:rFonts w:ascii="Century Gothic" w:hAnsi="Century Gothic" w:cs="Century Gothic"/>
          <w:color w:val="000000"/>
        </w:rPr>
        <w:t xml:space="preserve"> quality and viability.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IS.6 </w:t>
      </w:r>
      <w:proofErr w:type="gramStart"/>
      <w:r>
        <w:rPr>
          <w:rFonts w:ascii="Century Gothic" w:hAnsi="Century Gothic" w:cs="Century Gothic"/>
          <w:color w:val="000000"/>
        </w:rPr>
        <w:t>Further</w:t>
      </w:r>
      <w:proofErr w:type="gramEnd"/>
      <w:r>
        <w:rPr>
          <w:rFonts w:ascii="Century Gothic" w:hAnsi="Century Gothic" w:cs="Century Gothic"/>
          <w:color w:val="000000"/>
        </w:rPr>
        <w:t xml:space="preserve"> develop and enhance facilities and infrastructure to ensure institutional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quality</w:t>
      </w:r>
      <w:proofErr w:type="gramEnd"/>
      <w:r>
        <w:rPr>
          <w:rFonts w:ascii="Century Gothic" w:hAnsi="Century Gothic" w:cs="Century Gothic"/>
          <w:color w:val="000000"/>
        </w:rPr>
        <w:t>, viability and environmental sustainability.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IS.7 </w:t>
      </w:r>
      <w:r>
        <w:rPr>
          <w:rFonts w:ascii="Century Gothic" w:hAnsi="Century Gothic" w:cs="Century Gothic"/>
          <w:color w:val="000000"/>
        </w:rPr>
        <w:t>Support enrollment and success of underrepresented students.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IS.8 </w:t>
      </w:r>
      <w:r>
        <w:rPr>
          <w:rFonts w:ascii="Century Gothic" w:hAnsi="Century Gothic" w:cs="Century Gothic"/>
          <w:color w:val="000000"/>
        </w:rPr>
        <w:t>Expand access throughout the district with long-term strategies for educational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services</w:t>
      </w:r>
      <w:proofErr w:type="gramEnd"/>
      <w:r>
        <w:rPr>
          <w:rFonts w:ascii="Century Gothic" w:hAnsi="Century Gothic" w:cs="Century Gothic"/>
          <w:color w:val="000000"/>
        </w:rPr>
        <w:t xml:space="preserve"> in underserved geographic areas.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IS.9 </w:t>
      </w:r>
      <w:r>
        <w:rPr>
          <w:rFonts w:ascii="Century Gothic" w:hAnsi="Century Gothic" w:cs="Century Gothic"/>
          <w:color w:val="000000"/>
        </w:rPr>
        <w:t>Maintain student affordability while ensuring efficient and cost effective operations.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</w:pPr>
      <w:r w:rsidRPr="002C5C35"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  <w:t>Transfer &amp; Articulation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Students will have the academic achievement and skills neces</w:t>
      </w:r>
      <w:r>
        <w:rPr>
          <w:rFonts w:ascii="Century Gothic" w:hAnsi="Century Gothic" w:cs="Century Gothic"/>
          <w:color w:val="000000"/>
        </w:rPr>
        <w:t xml:space="preserve">sary to transfer and articulate </w:t>
      </w:r>
      <w:r>
        <w:rPr>
          <w:rFonts w:ascii="Century Gothic" w:hAnsi="Century Gothic" w:cs="Century Gothic"/>
          <w:color w:val="000000"/>
        </w:rPr>
        <w:t>successfully to institutions of higher learning beyond the community college level.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TA.1 </w:t>
      </w:r>
      <w:r>
        <w:rPr>
          <w:rFonts w:ascii="Century Gothic" w:hAnsi="Century Gothic" w:cs="Century Gothic"/>
          <w:color w:val="000000"/>
        </w:rPr>
        <w:t>Maximize support services, from entrance to transfer, to promote access and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success</w:t>
      </w:r>
      <w:proofErr w:type="gramEnd"/>
      <w:r>
        <w:rPr>
          <w:rFonts w:ascii="Century Gothic" w:hAnsi="Century Gothic" w:cs="Century Gothic"/>
          <w:color w:val="000000"/>
        </w:rPr>
        <w:t xml:space="preserve"> for students intending to transfer.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TA.2 </w:t>
      </w:r>
      <w:r>
        <w:rPr>
          <w:rFonts w:ascii="Century Gothic" w:hAnsi="Century Gothic" w:cs="Century Gothic"/>
          <w:color w:val="000000"/>
        </w:rPr>
        <w:t>Maintain and strengthen student opportunities to make progress toward degree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completion</w:t>
      </w:r>
      <w:proofErr w:type="gramEnd"/>
      <w:r>
        <w:rPr>
          <w:rFonts w:ascii="Century Gothic" w:hAnsi="Century Gothic" w:cs="Century Gothic"/>
          <w:color w:val="000000"/>
        </w:rPr>
        <w:t xml:space="preserve"> and/or transfer.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TA.3 </w:t>
      </w:r>
      <w:r>
        <w:rPr>
          <w:rFonts w:ascii="Century Gothic" w:hAnsi="Century Gothic" w:cs="Century Gothic"/>
          <w:color w:val="000000"/>
        </w:rPr>
        <w:t>Provide students a high-quality general education.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</w:pPr>
      <w:r w:rsidRPr="002C5C35"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  <w:t>Workforce Development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Students of Career and Technical Education (CTE) programs </w:t>
      </w:r>
      <w:proofErr w:type="gramStart"/>
      <w:r>
        <w:rPr>
          <w:rFonts w:ascii="Century Gothic" w:hAnsi="Century Gothic" w:cs="Century Gothic"/>
          <w:color w:val="000000"/>
        </w:rPr>
        <w:t>will be prepared for</w:t>
      </w:r>
      <w:proofErr w:type="gramEnd"/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employment</w:t>
      </w:r>
      <w:proofErr w:type="gramEnd"/>
      <w:r>
        <w:rPr>
          <w:rFonts w:ascii="Century Gothic" w:hAnsi="Century Gothic" w:cs="Century Gothic"/>
          <w:color w:val="000000"/>
        </w:rPr>
        <w:t xml:space="preserve"> and advanced education through the acquisition of knowledge and skills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necessary</w:t>
      </w:r>
      <w:proofErr w:type="gramEnd"/>
      <w:r>
        <w:rPr>
          <w:rFonts w:ascii="Century Gothic" w:hAnsi="Century Gothic" w:cs="Century Gothic"/>
          <w:color w:val="000000"/>
        </w:rPr>
        <w:t xml:space="preserve"> to meet current industry needs.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WD.1 </w:t>
      </w:r>
      <w:r>
        <w:rPr>
          <w:rFonts w:ascii="Century Gothic" w:hAnsi="Century Gothic" w:cs="Century Gothic"/>
          <w:color w:val="000000"/>
        </w:rPr>
        <w:t>Maximize support services, from entrance to completion, to promote successful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completion</w:t>
      </w:r>
      <w:proofErr w:type="gramEnd"/>
      <w:r>
        <w:rPr>
          <w:rFonts w:ascii="Century Gothic" w:hAnsi="Century Gothic" w:cs="Century Gothic"/>
          <w:color w:val="000000"/>
        </w:rPr>
        <w:t xml:space="preserve"> of CTE programs.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WD.2 </w:t>
      </w:r>
      <w:r>
        <w:rPr>
          <w:rFonts w:ascii="Century Gothic" w:hAnsi="Century Gothic" w:cs="Century Gothic"/>
          <w:color w:val="000000"/>
        </w:rPr>
        <w:t>Deliver CTE curriculum that aligns with current industry standards.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WD.3 </w:t>
      </w:r>
      <w:r>
        <w:rPr>
          <w:rFonts w:ascii="Century Gothic" w:hAnsi="Century Gothic" w:cs="Century Gothic"/>
          <w:color w:val="000000"/>
        </w:rPr>
        <w:t>Maintain and strengthen student opportunities in CTE programs for students to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achieve</w:t>
      </w:r>
      <w:proofErr w:type="gramEnd"/>
      <w:r>
        <w:rPr>
          <w:rFonts w:ascii="Century Gothic" w:hAnsi="Century Gothic" w:cs="Century Gothic"/>
          <w:color w:val="000000"/>
        </w:rPr>
        <w:t xml:space="preserve"> program completion and employment in their area of study.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WD.4 </w:t>
      </w:r>
      <w:r>
        <w:rPr>
          <w:rFonts w:ascii="Century Gothic" w:hAnsi="Century Gothic" w:cs="Century Gothic"/>
          <w:color w:val="000000"/>
        </w:rPr>
        <w:t>Cultivate current and future industry partnerships and assist industry partners in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regional</w:t>
      </w:r>
      <w:proofErr w:type="gramEnd"/>
      <w:r>
        <w:rPr>
          <w:rFonts w:ascii="Century Gothic" w:hAnsi="Century Gothic" w:cs="Century Gothic"/>
          <w:color w:val="000000"/>
        </w:rPr>
        <w:t xml:space="preserve"> economic development and job creation.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WD.5 </w:t>
      </w:r>
      <w:r>
        <w:rPr>
          <w:rFonts w:ascii="Century Gothic" w:hAnsi="Century Gothic" w:cs="Century Gothic"/>
          <w:color w:val="000000"/>
        </w:rPr>
        <w:t>Students in CTE programs will achieve the sought after credential and when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applicable</w:t>
      </w:r>
      <w:proofErr w:type="gramEnd"/>
      <w:r>
        <w:rPr>
          <w:rFonts w:ascii="Century Gothic" w:hAnsi="Century Gothic" w:cs="Century Gothic"/>
          <w:color w:val="000000"/>
        </w:rPr>
        <w:t>, continue on to attain career-specific certifications/licensure and/or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advanced</w:t>
      </w:r>
      <w:proofErr w:type="gramEnd"/>
      <w:r>
        <w:rPr>
          <w:rFonts w:ascii="Century Gothic" w:hAnsi="Century Gothic" w:cs="Century Gothic"/>
          <w:color w:val="000000"/>
        </w:rPr>
        <w:t xml:space="preserve"> education.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32"/>
          <w:szCs w:val="32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</w:pPr>
      <w:r w:rsidRPr="002C5C35"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  <w:t>Basic Skills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Students will have academic achievements and basic learning skills necessary</w:t>
      </w:r>
      <w:r>
        <w:rPr>
          <w:rFonts w:ascii="Century Gothic" w:hAnsi="Century Gothic" w:cs="Century Gothic"/>
          <w:color w:val="000000"/>
        </w:rPr>
        <w:t xml:space="preserve"> to participate </w:t>
      </w:r>
      <w:r>
        <w:rPr>
          <w:rFonts w:ascii="Century Gothic" w:hAnsi="Century Gothic" w:cs="Century Gothic"/>
          <w:color w:val="000000"/>
        </w:rPr>
        <w:t>effectively as engaged community and family members, a</w:t>
      </w:r>
      <w:r>
        <w:rPr>
          <w:rFonts w:ascii="Century Gothic" w:hAnsi="Century Gothic" w:cs="Century Gothic"/>
          <w:color w:val="000000"/>
        </w:rPr>
        <w:t xml:space="preserve">nd employees, and to succeed at </w:t>
      </w:r>
      <w:r>
        <w:rPr>
          <w:rFonts w:ascii="Century Gothic" w:hAnsi="Century Gothic" w:cs="Century Gothic"/>
          <w:color w:val="000000"/>
        </w:rPr>
        <w:t>the college level.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BS.1 </w:t>
      </w:r>
      <w:r>
        <w:rPr>
          <w:rFonts w:ascii="Century Gothic" w:hAnsi="Century Gothic" w:cs="Century Gothic"/>
          <w:color w:val="000000"/>
        </w:rPr>
        <w:t>Students who complete English Language Learner (ELL) courses will have the skills to</w:t>
      </w: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</w:rPr>
        <w:t>succeed in Adult Basic Education (ABE) and Adult Secondary Education (ASE)</w:t>
      </w: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</w:rPr>
        <w:t>courses.</w:t>
      </w: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BS.2 </w:t>
      </w:r>
      <w:r>
        <w:rPr>
          <w:rFonts w:ascii="Century Gothic" w:hAnsi="Century Gothic" w:cs="Century Gothic"/>
          <w:color w:val="000000"/>
        </w:rPr>
        <w:t>Students who complete ASE level courses will have the</w:t>
      </w:r>
      <w:r>
        <w:rPr>
          <w:rFonts w:ascii="Century Gothic" w:hAnsi="Century Gothic" w:cs="Century Gothic"/>
          <w:color w:val="000000"/>
        </w:rPr>
        <w:t xml:space="preserve"> skills necessary to obtain the </w:t>
      </w:r>
      <w:r>
        <w:rPr>
          <w:rFonts w:ascii="Century Gothic" w:hAnsi="Century Gothic" w:cs="Century Gothic"/>
          <w:color w:val="000000"/>
        </w:rPr>
        <w:t>GED.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BS.3 </w:t>
      </w:r>
      <w:r>
        <w:rPr>
          <w:rFonts w:ascii="Century Gothic" w:hAnsi="Century Gothic" w:cs="Century Gothic"/>
          <w:color w:val="000000"/>
        </w:rPr>
        <w:t>Students who complete ASE level courses will have the skills to succeed in credit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writing</w:t>
      </w:r>
      <w:proofErr w:type="gramEnd"/>
      <w:r>
        <w:rPr>
          <w:rFonts w:ascii="Century Gothic" w:hAnsi="Century Gothic" w:cs="Century Gothic"/>
          <w:color w:val="000000"/>
        </w:rPr>
        <w:t xml:space="preserve"> and math courses.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lastRenderedPageBreak/>
        <w:t xml:space="preserve">BS.4 </w:t>
      </w:r>
      <w:r>
        <w:rPr>
          <w:rFonts w:ascii="Century Gothic" w:hAnsi="Century Gothic" w:cs="Century Gothic"/>
          <w:color w:val="000000"/>
        </w:rPr>
        <w:t>Students who successfully complete developmental writing and/or math courses will</w:t>
      </w: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 </w:t>
      </w:r>
      <w:r>
        <w:rPr>
          <w:rFonts w:ascii="Century Gothic" w:hAnsi="Century Gothic" w:cs="Century Gothic"/>
          <w:color w:val="000000"/>
        </w:rPr>
        <w:t>succeed in higher-level credit writing and math courses appropriate to their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certificate</w:t>
      </w:r>
      <w:proofErr w:type="gramEnd"/>
      <w:r>
        <w:rPr>
          <w:rFonts w:ascii="Century Gothic" w:hAnsi="Century Gothic" w:cs="Century Gothic"/>
          <w:color w:val="000000"/>
        </w:rPr>
        <w:t xml:space="preserve"> or degree programs.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P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</w:pPr>
      <w:r w:rsidRPr="002C5C35">
        <w:rPr>
          <w:rFonts w:ascii="Century Gothic" w:hAnsi="Century Gothic" w:cs="Century Gothic"/>
          <w:b/>
          <w:bCs/>
          <w:color w:val="365F92"/>
          <w:sz w:val="28"/>
          <w:szCs w:val="28"/>
          <w:u w:val="single"/>
        </w:rPr>
        <w:t>Lifelong Learning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Participants in lifelong learning will have access to learning opportunities in the areas of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Enrichment, Professional Development, Technology and Wellness.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LL.1 </w:t>
      </w:r>
      <w:r>
        <w:rPr>
          <w:rFonts w:ascii="Century Gothic" w:hAnsi="Century Gothic" w:cs="Century Gothic"/>
          <w:color w:val="000000"/>
        </w:rPr>
        <w:t>Broaden lifelong learning opportunities based on as</w:t>
      </w:r>
      <w:r>
        <w:rPr>
          <w:rFonts w:ascii="Century Gothic" w:hAnsi="Century Gothic" w:cs="Century Gothic"/>
          <w:color w:val="000000"/>
        </w:rPr>
        <w:t xml:space="preserve">sessed industry, community, and </w:t>
      </w:r>
      <w:r>
        <w:rPr>
          <w:rFonts w:ascii="Century Gothic" w:hAnsi="Century Gothic" w:cs="Century Gothic"/>
          <w:color w:val="000000"/>
        </w:rPr>
        <w:t>campus needs.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LL.2 </w:t>
      </w:r>
      <w:r>
        <w:rPr>
          <w:rFonts w:ascii="Century Gothic" w:hAnsi="Century Gothic" w:cs="Century Gothic"/>
          <w:color w:val="000000"/>
        </w:rPr>
        <w:t>Increase overall, lifelong learning participation.</w:t>
      </w:r>
    </w:p>
    <w:p w:rsidR="002C5C35" w:rsidRDefault="002C5C35" w:rsidP="002C5C3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435BF6" w:rsidRDefault="002C5C35" w:rsidP="002C5C35">
      <w:r>
        <w:rPr>
          <w:rFonts w:ascii="Century Gothic" w:hAnsi="Century Gothic" w:cs="Century Gothic"/>
          <w:b/>
          <w:bCs/>
          <w:color w:val="365F92"/>
          <w:sz w:val="28"/>
          <w:szCs w:val="28"/>
        </w:rPr>
        <w:t xml:space="preserve">LL.3 </w:t>
      </w:r>
      <w:r>
        <w:rPr>
          <w:rFonts w:ascii="Century Gothic" w:hAnsi="Century Gothic" w:cs="Century Gothic"/>
          <w:color w:val="000000"/>
        </w:rPr>
        <w:t>Expand options for accessibility and instructional delivery in Continuing Education.</w:t>
      </w:r>
      <w:r w:rsidRPr="002C5C35">
        <w:rPr>
          <w:rFonts w:ascii="Century Gothic" w:hAnsi="Century Gothic" w:cs="Century Gothic"/>
          <w:color w:val="000000"/>
        </w:rPr>
        <w:t xml:space="preserve"> </w:t>
      </w:r>
    </w:p>
    <w:sectPr w:rsidR="0043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5"/>
    <w:rsid w:val="002C5C35"/>
    <w:rsid w:val="004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3AB4"/>
  <w15:chartTrackingRefBased/>
  <w15:docId w15:val="{1729E2E7-6E3C-408F-9717-D1A3177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683</Words>
  <Characters>3895</Characters>
  <Application>Microsoft Office Word</Application>
  <DocSecurity>0</DocSecurity>
  <Lines>32</Lines>
  <Paragraphs>9</Paragraphs>
  <ScaleCrop>false</ScaleCrop>
  <Company>College Campus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Downing</dc:creator>
  <cp:keywords/>
  <dc:description/>
  <cp:lastModifiedBy>Julie Downing</cp:lastModifiedBy>
  <cp:revision>1</cp:revision>
  <dcterms:created xsi:type="dcterms:W3CDTF">2017-02-10T21:20:00Z</dcterms:created>
  <dcterms:modified xsi:type="dcterms:W3CDTF">2017-02-10T21:26:00Z</dcterms:modified>
</cp:coreProperties>
</file>