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AF8BA" w14:textId="77C3B925" w:rsidR="00B52D28" w:rsidRPr="00B52D28" w:rsidRDefault="00B52D28" w:rsidP="00B52D28">
      <w:pPr>
        <w:shd w:val="clear" w:color="auto" w:fill="BDD6EE" w:themeFill="accent5" w:themeFillTint="66"/>
        <w:snapToGrid w:val="0"/>
        <w:spacing w:after="0"/>
        <w:jc w:val="center"/>
        <w:rPr>
          <w:rFonts w:cstheme="minorHAnsi"/>
          <w:b/>
          <w:bCs/>
          <w:kern w:val="24"/>
          <w:sz w:val="28"/>
          <w:szCs w:val="28"/>
        </w:rPr>
      </w:pPr>
      <w:bookmarkStart w:id="0" w:name="_GoBack"/>
      <w:bookmarkEnd w:id="0"/>
      <w:r w:rsidRPr="00B52D28">
        <w:rPr>
          <w:rFonts w:cstheme="minorHAnsi"/>
          <w:b/>
          <w:bCs/>
          <w:kern w:val="24"/>
          <w:sz w:val="28"/>
          <w:szCs w:val="28"/>
        </w:rPr>
        <w:t>COMMUNICATION TO RESPONDENT</w:t>
      </w:r>
    </w:p>
    <w:p w14:paraId="376922D6" w14:textId="77777777" w:rsidR="00B52D28" w:rsidRDefault="00B52D28" w:rsidP="00B52D28">
      <w:pPr>
        <w:snapToGrid w:val="0"/>
        <w:spacing w:after="0"/>
        <w:jc w:val="center"/>
        <w:rPr>
          <w:rFonts w:cstheme="minorHAnsi"/>
          <w:b/>
          <w:bCs/>
          <w:kern w:val="24"/>
          <w:sz w:val="24"/>
          <w:szCs w:val="24"/>
        </w:rPr>
      </w:pPr>
    </w:p>
    <w:p w14:paraId="2005D662" w14:textId="7034DF58" w:rsidR="009E29E3" w:rsidRPr="00B52D28" w:rsidRDefault="009E29E3" w:rsidP="00B52D28">
      <w:pPr>
        <w:shd w:val="clear" w:color="auto" w:fill="C5E0B3" w:themeFill="accent6" w:themeFillTint="66"/>
        <w:snapToGrid w:val="0"/>
        <w:spacing w:after="0"/>
        <w:jc w:val="center"/>
        <w:rPr>
          <w:rFonts w:cstheme="minorHAnsi"/>
          <w:b/>
          <w:bCs/>
          <w:kern w:val="24"/>
          <w:sz w:val="24"/>
          <w:szCs w:val="24"/>
        </w:rPr>
      </w:pPr>
      <w:r w:rsidRPr="00B52D28">
        <w:rPr>
          <w:rFonts w:cstheme="minorHAnsi"/>
          <w:b/>
          <w:bCs/>
          <w:kern w:val="24"/>
          <w:sz w:val="24"/>
          <w:szCs w:val="24"/>
        </w:rPr>
        <w:t xml:space="preserve">Title IX – Formal Investigation </w:t>
      </w:r>
    </w:p>
    <w:p w14:paraId="234CFE32" w14:textId="39414926" w:rsidR="009E29E3" w:rsidRPr="00B52D28" w:rsidRDefault="009E29E3" w:rsidP="00A70D1D">
      <w:pPr>
        <w:snapToGrid w:val="0"/>
        <w:spacing w:after="0"/>
        <w:rPr>
          <w:rFonts w:cstheme="minorHAnsi"/>
          <w:kern w:val="24"/>
          <w:sz w:val="24"/>
          <w:szCs w:val="24"/>
        </w:rPr>
      </w:pPr>
    </w:p>
    <w:p w14:paraId="189FF932" w14:textId="34869FAA" w:rsidR="009E29E3" w:rsidRPr="00B52D28" w:rsidRDefault="009E29E3" w:rsidP="00A70D1D">
      <w:pPr>
        <w:snapToGrid w:val="0"/>
        <w:spacing w:after="0"/>
        <w:jc w:val="center"/>
        <w:rPr>
          <w:rFonts w:cstheme="minorHAnsi"/>
          <w:kern w:val="24"/>
          <w:sz w:val="24"/>
          <w:szCs w:val="24"/>
        </w:rPr>
      </w:pPr>
      <w:r w:rsidRPr="00B52D28">
        <w:rPr>
          <w:rFonts w:cstheme="minorHAnsi"/>
          <w:kern w:val="24"/>
          <w:sz w:val="24"/>
          <w:szCs w:val="24"/>
        </w:rPr>
        <w:t xml:space="preserve">General Procedures Manual: </w:t>
      </w:r>
      <w:hyperlink r:id="rId5" w:history="1">
        <w:r w:rsidRPr="00B52D28">
          <w:rPr>
            <w:rStyle w:val="Hyperlink"/>
            <w:rFonts w:cstheme="minorHAnsi"/>
            <w:color w:val="auto"/>
            <w:kern w:val="24"/>
            <w:sz w:val="24"/>
            <w:szCs w:val="24"/>
          </w:rPr>
          <w:t>N-2-11</w:t>
        </w:r>
      </w:hyperlink>
    </w:p>
    <w:p w14:paraId="27CEF7A6" w14:textId="77777777" w:rsidR="009E29E3" w:rsidRPr="00B52D28" w:rsidRDefault="009E29E3" w:rsidP="00A70D1D">
      <w:pPr>
        <w:snapToGrid w:val="0"/>
        <w:spacing w:after="0"/>
        <w:rPr>
          <w:rFonts w:cstheme="minorHAnsi"/>
          <w:kern w:val="24"/>
          <w:sz w:val="24"/>
          <w:szCs w:val="24"/>
        </w:rPr>
      </w:pPr>
    </w:p>
    <w:p w14:paraId="1AFE3BD4" w14:textId="5D01A613" w:rsidR="009E29E3" w:rsidRPr="00B52D28" w:rsidRDefault="009E29E3" w:rsidP="00B52D28">
      <w:pPr>
        <w:pStyle w:val="ListParagraph"/>
        <w:numPr>
          <w:ilvl w:val="0"/>
          <w:numId w:val="5"/>
        </w:numPr>
        <w:snapToGrid w:val="0"/>
        <w:spacing w:after="0"/>
        <w:rPr>
          <w:rFonts w:cstheme="minorHAnsi"/>
          <w:kern w:val="24"/>
          <w:sz w:val="24"/>
          <w:szCs w:val="24"/>
        </w:rPr>
      </w:pPr>
      <w:r w:rsidRPr="00B52D28">
        <w:rPr>
          <w:rFonts w:cstheme="minorHAnsi"/>
          <w:kern w:val="24"/>
          <w:sz w:val="24"/>
          <w:szCs w:val="24"/>
        </w:rPr>
        <w:t>Summary of the allegations, including date(s) and location(s) of incident(s) and identity of parties, if known;</w:t>
      </w:r>
    </w:p>
    <w:p w14:paraId="2649FFC5" w14:textId="77777777" w:rsidR="009E29E3" w:rsidRPr="00B52D28" w:rsidRDefault="009E29E3" w:rsidP="00B52D28">
      <w:pPr>
        <w:pStyle w:val="ListParagraph"/>
        <w:numPr>
          <w:ilvl w:val="0"/>
          <w:numId w:val="5"/>
        </w:numPr>
        <w:snapToGrid w:val="0"/>
        <w:spacing w:after="0"/>
        <w:rPr>
          <w:rFonts w:cstheme="minorHAnsi"/>
          <w:kern w:val="24"/>
          <w:sz w:val="24"/>
          <w:szCs w:val="24"/>
        </w:rPr>
      </w:pPr>
      <w:r w:rsidRPr="00B52D28">
        <w:rPr>
          <w:rFonts w:cstheme="minorHAnsi"/>
          <w:kern w:val="24"/>
          <w:sz w:val="24"/>
          <w:szCs w:val="24"/>
        </w:rPr>
        <w:t>The alleged policy violation;</w:t>
      </w:r>
    </w:p>
    <w:p w14:paraId="7FE5F48A" w14:textId="77777777" w:rsidR="009E29E3" w:rsidRPr="00B52D28" w:rsidRDefault="009E29E3" w:rsidP="00B52D28">
      <w:pPr>
        <w:pStyle w:val="ListParagraph"/>
        <w:numPr>
          <w:ilvl w:val="0"/>
          <w:numId w:val="5"/>
        </w:numPr>
        <w:snapToGrid w:val="0"/>
        <w:spacing w:after="0"/>
        <w:rPr>
          <w:rFonts w:cstheme="minorHAnsi"/>
          <w:kern w:val="24"/>
          <w:sz w:val="24"/>
          <w:szCs w:val="24"/>
        </w:rPr>
      </w:pPr>
      <w:r w:rsidRPr="00B52D28">
        <w:rPr>
          <w:rFonts w:cstheme="minorHAnsi"/>
          <w:kern w:val="24"/>
          <w:sz w:val="24"/>
          <w:szCs w:val="24"/>
        </w:rPr>
        <w:t>Title IX formal investigation and appeals process overview;</w:t>
      </w:r>
    </w:p>
    <w:p w14:paraId="33E35961" w14:textId="77777777" w:rsidR="009E29E3" w:rsidRPr="00B52D28" w:rsidRDefault="009E29E3" w:rsidP="00B52D28">
      <w:pPr>
        <w:pStyle w:val="ListParagraph"/>
        <w:numPr>
          <w:ilvl w:val="0"/>
          <w:numId w:val="5"/>
        </w:numPr>
        <w:snapToGrid w:val="0"/>
        <w:spacing w:after="0"/>
        <w:rPr>
          <w:rFonts w:cstheme="minorHAnsi"/>
          <w:kern w:val="24"/>
          <w:sz w:val="24"/>
          <w:szCs w:val="24"/>
        </w:rPr>
      </w:pPr>
      <w:r w:rsidRPr="00B52D28">
        <w:rPr>
          <w:rFonts w:cstheme="minorHAnsi"/>
          <w:kern w:val="24"/>
          <w:sz w:val="24"/>
          <w:szCs w:val="24"/>
        </w:rPr>
        <w:t>Potential sanctions and remedies;</w:t>
      </w:r>
    </w:p>
    <w:p w14:paraId="33E8B2D5" w14:textId="77777777" w:rsidR="009E29E3" w:rsidRPr="00B52D28" w:rsidRDefault="009E29E3" w:rsidP="00B52D28">
      <w:pPr>
        <w:pStyle w:val="ListParagraph"/>
        <w:numPr>
          <w:ilvl w:val="0"/>
          <w:numId w:val="5"/>
        </w:numPr>
        <w:snapToGrid w:val="0"/>
        <w:spacing w:after="0"/>
        <w:rPr>
          <w:rFonts w:cstheme="minorHAnsi"/>
          <w:kern w:val="24"/>
          <w:sz w:val="24"/>
          <w:szCs w:val="24"/>
        </w:rPr>
      </w:pPr>
      <w:r w:rsidRPr="00B52D28">
        <w:rPr>
          <w:rFonts w:cstheme="minorHAnsi"/>
          <w:kern w:val="24"/>
          <w:sz w:val="24"/>
          <w:szCs w:val="24"/>
        </w:rPr>
        <w:t>Evidentiary standard, including a statement that the respondent is presumed not responsible for the alleged actions until the hearings officer has an opportunity to review the investigatory report;</w:t>
      </w:r>
    </w:p>
    <w:p w14:paraId="012171FF" w14:textId="77777777" w:rsidR="009E29E3" w:rsidRPr="00B52D28" w:rsidRDefault="009E29E3" w:rsidP="00B52D28">
      <w:pPr>
        <w:pStyle w:val="ListParagraph"/>
        <w:numPr>
          <w:ilvl w:val="0"/>
          <w:numId w:val="5"/>
        </w:numPr>
        <w:snapToGrid w:val="0"/>
        <w:spacing w:after="0"/>
        <w:rPr>
          <w:rFonts w:cstheme="minorHAnsi"/>
          <w:kern w:val="24"/>
          <w:sz w:val="24"/>
          <w:szCs w:val="24"/>
        </w:rPr>
      </w:pPr>
      <w:r w:rsidRPr="00B52D28">
        <w:rPr>
          <w:rFonts w:cstheme="minorHAnsi"/>
          <w:kern w:val="24"/>
          <w:sz w:val="24"/>
          <w:szCs w:val="24"/>
        </w:rPr>
        <w:t>Statement on COCC’s non-retaliation policy;</w:t>
      </w:r>
    </w:p>
    <w:p w14:paraId="7B1EE43A" w14:textId="77777777" w:rsidR="009E29E3" w:rsidRPr="00B52D28" w:rsidRDefault="009E29E3" w:rsidP="00B52D28">
      <w:pPr>
        <w:pStyle w:val="ListParagraph"/>
        <w:numPr>
          <w:ilvl w:val="0"/>
          <w:numId w:val="5"/>
        </w:numPr>
        <w:snapToGrid w:val="0"/>
        <w:spacing w:after="0"/>
        <w:rPr>
          <w:rFonts w:cstheme="minorHAnsi"/>
          <w:kern w:val="24"/>
          <w:sz w:val="24"/>
          <w:szCs w:val="24"/>
        </w:rPr>
      </w:pPr>
      <w:r w:rsidRPr="00B52D28">
        <w:rPr>
          <w:rFonts w:cstheme="minorHAnsi"/>
          <w:kern w:val="24"/>
          <w:sz w:val="24"/>
          <w:szCs w:val="24"/>
        </w:rPr>
        <w:t>Statement on process privacy;</w:t>
      </w:r>
    </w:p>
    <w:p w14:paraId="6B2685CC" w14:textId="77777777" w:rsidR="009E29E3" w:rsidRPr="00B52D28" w:rsidRDefault="009E29E3" w:rsidP="00B52D28">
      <w:pPr>
        <w:pStyle w:val="ListParagraph"/>
        <w:numPr>
          <w:ilvl w:val="0"/>
          <w:numId w:val="5"/>
        </w:numPr>
        <w:snapToGrid w:val="0"/>
        <w:spacing w:after="0"/>
        <w:rPr>
          <w:rFonts w:cstheme="minorHAnsi"/>
          <w:kern w:val="24"/>
          <w:sz w:val="24"/>
          <w:szCs w:val="24"/>
        </w:rPr>
      </w:pPr>
      <w:r w:rsidRPr="00B52D28">
        <w:rPr>
          <w:rFonts w:cstheme="minorHAnsi"/>
          <w:kern w:val="24"/>
          <w:sz w:val="24"/>
          <w:szCs w:val="24"/>
        </w:rPr>
        <w:t>A statement on each party’s requirement to have a College-appointed advisor or advisor-of-choice each stage of the process and how to request a College-appointed advisor if needed;</w:t>
      </w:r>
    </w:p>
    <w:p w14:paraId="3FE7CABC" w14:textId="77777777" w:rsidR="009E29E3" w:rsidRPr="00B52D28" w:rsidRDefault="009E29E3" w:rsidP="00B52D28">
      <w:pPr>
        <w:pStyle w:val="ListParagraph"/>
        <w:numPr>
          <w:ilvl w:val="0"/>
          <w:numId w:val="5"/>
        </w:numPr>
        <w:snapToGrid w:val="0"/>
        <w:spacing w:after="0"/>
        <w:rPr>
          <w:rFonts w:cstheme="minorHAnsi"/>
          <w:kern w:val="24"/>
          <w:sz w:val="24"/>
          <w:szCs w:val="24"/>
        </w:rPr>
      </w:pPr>
      <w:r w:rsidRPr="00B52D28">
        <w:rPr>
          <w:rFonts w:cstheme="minorHAnsi"/>
          <w:kern w:val="24"/>
          <w:sz w:val="24"/>
          <w:szCs w:val="24"/>
        </w:rPr>
        <w:t>A statement that COCC prohibits participants from knowingly making false statements during the course of this process;</w:t>
      </w:r>
    </w:p>
    <w:p w14:paraId="3A59703B" w14:textId="77777777" w:rsidR="009E29E3" w:rsidRPr="00B52D28" w:rsidRDefault="009E29E3" w:rsidP="00B52D28">
      <w:pPr>
        <w:pStyle w:val="ListParagraph"/>
        <w:numPr>
          <w:ilvl w:val="0"/>
          <w:numId w:val="5"/>
        </w:numPr>
        <w:snapToGrid w:val="0"/>
        <w:spacing w:after="0"/>
        <w:rPr>
          <w:rFonts w:cstheme="minorHAnsi"/>
          <w:kern w:val="24"/>
          <w:sz w:val="24"/>
          <w:szCs w:val="24"/>
        </w:rPr>
      </w:pPr>
      <w:r w:rsidRPr="00B52D28">
        <w:rPr>
          <w:rFonts w:cstheme="minorHAnsi"/>
          <w:kern w:val="24"/>
          <w:sz w:val="24"/>
          <w:szCs w:val="24"/>
        </w:rPr>
        <w:t>Details on how to request accommodations for those with disabilities;</w:t>
      </w:r>
    </w:p>
    <w:p w14:paraId="14334A6C" w14:textId="77777777" w:rsidR="009E29E3" w:rsidRPr="00B52D28" w:rsidRDefault="009E29E3" w:rsidP="00B52D28">
      <w:pPr>
        <w:pStyle w:val="ListParagraph"/>
        <w:numPr>
          <w:ilvl w:val="0"/>
          <w:numId w:val="5"/>
        </w:numPr>
        <w:snapToGrid w:val="0"/>
        <w:spacing w:after="0"/>
        <w:rPr>
          <w:rFonts w:cstheme="minorHAnsi"/>
          <w:kern w:val="24"/>
          <w:sz w:val="24"/>
          <w:szCs w:val="24"/>
        </w:rPr>
      </w:pPr>
      <w:r w:rsidRPr="00B52D28">
        <w:rPr>
          <w:rFonts w:cstheme="minorHAnsi"/>
          <w:kern w:val="24"/>
          <w:sz w:val="24"/>
          <w:szCs w:val="24"/>
        </w:rPr>
        <w:t>The names and contact information for the investigator and hearings officers, along with an opportunity for the respondent to identify potential conflicts of interest between the respondent and investigator and/or hearings officer; and</w:t>
      </w:r>
    </w:p>
    <w:p w14:paraId="0EBAD38D" w14:textId="65F3441F" w:rsidR="009E29E3" w:rsidRPr="00B52D28" w:rsidRDefault="009E29E3" w:rsidP="00B52D28">
      <w:pPr>
        <w:pStyle w:val="ListParagraph"/>
        <w:numPr>
          <w:ilvl w:val="0"/>
          <w:numId w:val="5"/>
        </w:numPr>
        <w:snapToGrid w:val="0"/>
        <w:spacing w:after="0"/>
        <w:rPr>
          <w:rFonts w:cstheme="minorHAnsi"/>
          <w:kern w:val="24"/>
          <w:sz w:val="24"/>
          <w:szCs w:val="24"/>
        </w:rPr>
      </w:pPr>
      <w:r w:rsidRPr="00B52D28">
        <w:rPr>
          <w:rFonts w:cstheme="minorHAnsi"/>
          <w:kern w:val="24"/>
          <w:sz w:val="24"/>
          <w:szCs w:val="24"/>
        </w:rPr>
        <w:t>Directions to preserve any evidence directly related to the investigation.</w:t>
      </w:r>
    </w:p>
    <w:p w14:paraId="40894B4E" w14:textId="6E1AB458" w:rsidR="009E29E3" w:rsidRPr="00B52D28" w:rsidRDefault="009E29E3" w:rsidP="00A70D1D">
      <w:pPr>
        <w:snapToGrid w:val="0"/>
        <w:spacing w:after="0"/>
        <w:rPr>
          <w:rFonts w:cstheme="minorHAnsi"/>
          <w:kern w:val="24"/>
          <w:sz w:val="24"/>
          <w:szCs w:val="24"/>
        </w:rPr>
      </w:pPr>
    </w:p>
    <w:p w14:paraId="118578FA" w14:textId="487EBC9A" w:rsidR="009E29E3" w:rsidRPr="00B52D28" w:rsidRDefault="009E29E3" w:rsidP="00A70D1D">
      <w:pPr>
        <w:snapToGrid w:val="0"/>
        <w:spacing w:after="0"/>
        <w:rPr>
          <w:rFonts w:cstheme="minorHAnsi"/>
          <w:kern w:val="24"/>
          <w:sz w:val="24"/>
          <w:szCs w:val="24"/>
        </w:rPr>
      </w:pPr>
      <w:r w:rsidRPr="00B52D28">
        <w:rPr>
          <w:rFonts w:cstheme="minorHAnsi"/>
          <w:kern w:val="24"/>
          <w:sz w:val="24"/>
          <w:szCs w:val="24"/>
        </w:rPr>
        <w:t>The notice of allegations and investigation will be delivered in two or more of the following ways: Delivered in person, mailed to permanent or temporary address, or emailed to the parties’ COCC email. Once delivered, mailed or emailed, the College will presume the letter was received.</w:t>
      </w:r>
    </w:p>
    <w:p w14:paraId="616F4F57" w14:textId="77777777" w:rsidR="009E29E3" w:rsidRPr="00B52D28" w:rsidRDefault="009E29E3" w:rsidP="00A70D1D">
      <w:pPr>
        <w:snapToGrid w:val="0"/>
        <w:spacing w:after="0"/>
        <w:rPr>
          <w:rFonts w:cstheme="minorHAnsi"/>
          <w:sz w:val="24"/>
          <w:szCs w:val="24"/>
        </w:rPr>
      </w:pPr>
    </w:p>
    <w:p w14:paraId="21D006CB" w14:textId="4F25C85A" w:rsidR="009E29E3" w:rsidRPr="00B52D28" w:rsidRDefault="009E29E3" w:rsidP="00B52D28">
      <w:pPr>
        <w:shd w:val="clear" w:color="auto" w:fill="C5E0B3" w:themeFill="accent6" w:themeFillTint="66"/>
        <w:snapToGrid w:val="0"/>
        <w:spacing w:after="0"/>
        <w:jc w:val="center"/>
        <w:rPr>
          <w:rFonts w:cstheme="minorHAnsi"/>
          <w:b/>
          <w:bCs/>
          <w:kern w:val="24"/>
          <w:sz w:val="24"/>
          <w:szCs w:val="24"/>
        </w:rPr>
      </w:pPr>
      <w:r w:rsidRPr="00B52D28">
        <w:rPr>
          <w:rFonts w:cstheme="minorHAnsi"/>
          <w:b/>
          <w:bCs/>
          <w:kern w:val="24"/>
          <w:sz w:val="24"/>
          <w:szCs w:val="24"/>
        </w:rPr>
        <w:t>COCC – Formal Investigation</w:t>
      </w:r>
    </w:p>
    <w:p w14:paraId="69EF6515" w14:textId="77777777" w:rsidR="009E29E3" w:rsidRPr="00B52D28" w:rsidRDefault="009E29E3" w:rsidP="00A70D1D">
      <w:pPr>
        <w:snapToGrid w:val="0"/>
        <w:spacing w:after="0"/>
        <w:rPr>
          <w:rFonts w:cstheme="minorHAnsi"/>
          <w:sz w:val="24"/>
          <w:szCs w:val="24"/>
        </w:rPr>
      </w:pPr>
    </w:p>
    <w:p w14:paraId="6B75EEC3" w14:textId="2BA81134" w:rsidR="00CF3087" w:rsidRPr="00B52D28" w:rsidRDefault="009E29E3" w:rsidP="00A70D1D">
      <w:pPr>
        <w:snapToGrid w:val="0"/>
        <w:spacing w:after="0"/>
        <w:jc w:val="center"/>
        <w:rPr>
          <w:rFonts w:cstheme="minorHAnsi"/>
          <w:sz w:val="24"/>
          <w:szCs w:val="24"/>
        </w:rPr>
      </w:pPr>
      <w:r w:rsidRPr="00B52D28">
        <w:rPr>
          <w:rFonts w:cstheme="minorHAnsi"/>
          <w:sz w:val="24"/>
          <w:szCs w:val="24"/>
        </w:rPr>
        <w:t xml:space="preserve">General Procedures Manual: </w:t>
      </w:r>
      <w:hyperlink r:id="rId6" w:history="1">
        <w:r w:rsidRPr="00B52D28">
          <w:rPr>
            <w:rStyle w:val="Hyperlink"/>
            <w:rFonts w:cstheme="minorHAnsi"/>
            <w:color w:val="auto"/>
            <w:sz w:val="24"/>
            <w:szCs w:val="24"/>
          </w:rPr>
          <w:t>N-3-10</w:t>
        </w:r>
      </w:hyperlink>
    </w:p>
    <w:p w14:paraId="69A8C690" w14:textId="0AD677E1" w:rsidR="009E29E3" w:rsidRPr="00B52D28" w:rsidRDefault="009E29E3" w:rsidP="00A70D1D">
      <w:pPr>
        <w:snapToGrid w:val="0"/>
        <w:spacing w:after="0"/>
        <w:jc w:val="center"/>
        <w:rPr>
          <w:rFonts w:cstheme="minorHAnsi"/>
          <w:sz w:val="24"/>
          <w:szCs w:val="24"/>
        </w:rPr>
      </w:pPr>
    </w:p>
    <w:p w14:paraId="4D630F0E" w14:textId="77777777" w:rsidR="009E29E3" w:rsidRPr="00B52D28" w:rsidRDefault="009E29E3" w:rsidP="00A70D1D">
      <w:pPr>
        <w:shd w:val="clear" w:color="auto" w:fill="FFFFFF"/>
        <w:snapToGrid w:val="0"/>
        <w:spacing w:after="0"/>
        <w:rPr>
          <w:rFonts w:eastAsia="Times New Roman" w:cstheme="minorHAnsi"/>
          <w:sz w:val="24"/>
          <w:szCs w:val="24"/>
        </w:rPr>
      </w:pPr>
      <w:r w:rsidRPr="00B52D28">
        <w:rPr>
          <w:rFonts w:eastAsia="Times New Roman" w:cstheme="minorHAnsi"/>
          <w:sz w:val="24"/>
          <w:szCs w:val="24"/>
        </w:rPr>
        <w:t>The investigator will contact the reporting and responding parties for individual interviews. In the case of the responding party, the investigator will provide information about the nature of the allegations and names of reporting parties in line with the reporting party’s wishes for confidentiality. This information will be delivered in two or more of the following ways: Delivered in person, mailed to permanent or temporary address, or emailed to the parties’ COCC email. Once delivered, mailed or emailed, the College presume the letter was received.</w:t>
      </w:r>
    </w:p>
    <w:p w14:paraId="60C1A5FD" w14:textId="58C5E28B" w:rsidR="009E29E3" w:rsidRPr="00B52D28" w:rsidRDefault="009E29E3" w:rsidP="00A70D1D">
      <w:pPr>
        <w:snapToGrid w:val="0"/>
        <w:spacing w:after="0"/>
        <w:rPr>
          <w:rFonts w:cstheme="minorHAnsi"/>
          <w:sz w:val="24"/>
          <w:szCs w:val="24"/>
        </w:rPr>
      </w:pPr>
      <w:r w:rsidRPr="00B52D28">
        <w:rPr>
          <w:rFonts w:cstheme="minorHAnsi"/>
          <w:sz w:val="24"/>
          <w:szCs w:val="24"/>
        </w:rPr>
        <w:br w:type="page"/>
      </w:r>
    </w:p>
    <w:p w14:paraId="173F54E5" w14:textId="06D019E6" w:rsidR="00B52D28" w:rsidRPr="00B52D28" w:rsidRDefault="00B52D28" w:rsidP="00B52D28">
      <w:pPr>
        <w:shd w:val="clear" w:color="auto" w:fill="BDD6EE" w:themeFill="accent5" w:themeFillTint="66"/>
        <w:snapToGrid w:val="0"/>
        <w:spacing w:after="0"/>
        <w:jc w:val="center"/>
        <w:rPr>
          <w:rFonts w:cstheme="minorHAnsi"/>
          <w:b/>
          <w:bCs/>
          <w:kern w:val="24"/>
          <w:sz w:val="28"/>
          <w:szCs w:val="28"/>
        </w:rPr>
      </w:pPr>
      <w:r w:rsidRPr="00B52D28">
        <w:rPr>
          <w:rFonts w:cstheme="minorHAnsi"/>
          <w:b/>
          <w:bCs/>
          <w:kern w:val="24"/>
          <w:sz w:val="28"/>
          <w:szCs w:val="28"/>
        </w:rPr>
        <w:lastRenderedPageBreak/>
        <w:t>INVESTIGATOR REPORT</w:t>
      </w:r>
    </w:p>
    <w:p w14:paraId="272A9048" w14:textId="77777777" w:rsidR="00B52D28" w:rsidRDefault="00B52D28" w:rsidP="00B52D28">
      <w:pPr>
        <w:snapToGrid w:val="0"/>
        <w:spacing w:after="0"/>
        <w:jc w:val="center"/>
        <w:rPr>
          <w:rFonts w:cstheme="minorHAnsi"/>
          <w:b/>
          <w:bCs/>
          <w:kern w:val="24"/>
          <w:sz w:val="24"/>
          <w:szCs w:val="24"/>
        </w:rPr>
      </w:pPr>
    </w:p>
    <w:p w14:paraId="2A50AF1A" w14:textId="73A8A0B7" w:rsidR="009E29E3" w:rsidRPr="00B52D28" w:rsidRDefault="009E29E3" w:rsidP="00B52D28">
      <w:pPr>
        <w:shd w:val="clear" w:color="auto" w:fill="C5E0B3" w:themeFill="accent6" w:themeFillTint="66"/>
        <w:snapToGrid w:val="0"/>
        <w:spacing w:after="0"/>
        <w:jc w:val="center"/>
        <w:rPr>
          <w:rFonts w:cstheme="minorHAnsi"/>
          <w:b/>
          <w:bCs/>
          <w:kern w:val="24"/>
          <w:sz w:val="24"/>
          <w:szCs w:val="24"/>
        </w:rPr>
      </w:pPr>
      <w:r w:rsidRPr="00B52D28">
        <w:rPr>
          <w:rFonts w:cstheme="minorHAnsi"/>
          <w:b/>
          <w:bCs/>
          <w:kern w:val="24"/>
          <w:sz w:val="24"/>
          <w:szCs w:val="24"/>
        </w:rPr>
        <w:t>Title IX – Formal Investigation</w:t>
      </w:r>
    </w:p>
    <w:p w14:paraId="745A3D9A" w14:textId="77777777" w:rsidR="009E29E3" w:rsidRPr="00B52D28" w:rsidRDefault="009E29E3" w:rsidP="00A70D1D">
      <w:pPr>
        <w:snapToGrid w:val="0"/>
        <w:spacing w:after="0"/>
        <w:rPr>
          <w:rFonts w:cstheme="minorHAnsi"/>
          <w:kern w:val="24"/>
          <w:sz w:val="24"/>
          <w:szCs w:val="24"/>
        </w:rPr>
      </w:pPr>
    </w:p>
    <w:p w14:paraId="44FA2FE3" w14:textId="77777777" w:rsidR="009E29E3" w:rsidRPr="00B52D28" w:rsidRDefault="009E29E3" w:rsidP="00A70D1D">
      <w:pPr>
        <w:snapToGrid w:val="0"/>
        <w:spacing w:after="0"/>
        <w:jc w:val="center"/>
        <w:rPr>
          <w:rFonts w:cstheme="minorHAnsi"/>
          <w:kern w:val="24"/>
          <w:sz w:val="24"/>
          <w:szCs w:val="24"/>
        </w:rPr>
      </w:pPr>
      <w:r w:rsidRPr="00B52D28">
        <w:rPr>
          <w:rFonts w:cstheme="minorHAnsi"/>
          <w:kern w:val="24"/>
          <w:sz w:val="24"/>
          <w:szCs w:val="24"/>
        </w:rPr>
        <w:t xml:space="preserve">General Procedures Manual: </w:t>
      </w:r>
      <w:hyperlink r:id="rId7" w:history="1">
        <w:r w:rsidRPr="00B52D28">
          <w:rPr>
            <w:rStyle w:val="Hyperlink"/>
            <w:rFonts w:cstheme="minorHAnsi"/>
            <w:color w:val="auto"/>
            <w:kern w:val="24"/>
            <w:sz w:val="24"/>
            <w:szCs w:val="24"/>
          </w:rPr>
          <w:t>N-2-11</w:t>
        </w:r>
      </w:hyperlink>
    </w:p>
    <w:p w14:paraId="3A90CBEF" w14:textId="5FEC56B4" w:rsidR="009E29E3" w:rsidRPr="00B52D28" w:rsidRDefault="009E29E3" w:rsidP="00A70D1D">
      <w:pPr>
        <w:snapToGrid w:val="0"/>
        <w:spacing w:after="0"/>
        <w:jc w:val="center"/>
        <w:rPr>
          <w:rFonts w:cstheme="minorHAnsi"/>
          <w:sz w:val="24"/>
          <w:szCs w:val="24"/>
        </w:rPr>
      </w:pPr>
    </w:p>
    <w:p w14:paraId="53DF6858" w14:textId="77777777" w:rsidR="009E29E3" w:rsidRPr="00B52D28" w:rsidRDefault="009E29E3" w:rsidP="00A70D1D">
      <w:pPr>
        <w:shd w:val="clear" w:color="auto" w:fill="FFFFFF"/>
        <w:snapToGrid w:val="0"/>
        <w:spacing w:after="0"/>
        <w:rPr>
          <w:rFonts w:eastAsia="Times New Roman" w:cstheme="minorHAnsi"/>
          <w:sz w:val="24"/>
          <w:szCs w:val="24"/>
        </w:rPr>
      </w:pPr>
      <w:r w:rsidRPr="00B52D28">
        <w:rPr>
          <w:rFonts w:eastAsia="Times New Roman" w:cstheme="minorHAnsi"/>
          <w:sz w:val="24"/>
          <w:szCs w:val="24"/>
        </w:rPr>
        <w:t>Upon conclusion of the interviews with complainant, respondent, and witnesses, the investigator(s) will draft a report to include, at a minimum, the following:</w:t>
      </w:r>
      <w:r w:rsidRPr="00B52D28">
        <w:rPr>
          <w:rFonts w:eastAsia="Times New Roman" w:cstheme="minorHAnsi"/>
          <w:sz w:val="24"/>
          <w:szCs w:val="24"/>
        </w:rPr>
        <w:br/>
      </w:r>
    </w:p>
    <w:p w14:paraId="3CB2E8D0" w14:textId="77777777" w:rsidR="009E29E3" w:rsidRPr="00B52D28" w:rsidRDefault="009E29E3" w:rsidP="00A70D1D">
      <w:pPr>
        <w:numPr>
          <w:ilvl w:val="0"/>
          <w:numId w:val="3"/>
        </w:numPr>
        <w:shd w:val="clear" w:color="auto" w:fill="FFFFFF"/>
        <w:snapToGrid w:val="0"/>
        <w:spacing w:after="0"/>
        <w:rPr>
          <w:rFonts w:eastAsia="Times New Roman" w:cstheme="minorHAnsi"/>
          <w:sz w:val="24"/>
          <w:szCs w:val="24"/>
        </w:rPr>
      </w:pPr>
      <w:r w:rsidRPr="00B52D28">
        <w:rPr>
          <w:rFonts w:eastAsia="Times New Roman" w:cstheme="minorHAnsi"/>
          <w:sz w:val="24"/>
          <w:szCs w:val="24"/>
        </w:rPr>
        <w:t>Background (e.g., date of report and incident(s), alleged policy violation, names of complainant(s) and respondent(s) and their advisors, interim measures);</w:t>
      </w:r>
    </w:p>
    <w:p w14:paraId="369A3C2B" w14:textId="77777777" w:rsidR="009E29E3" w:rsidRPr="00B52D28" w:rsidRDefault="009E29E3" w:rsidP="00A70D1D">
      <w:pPr>
        <w:numPr>
          <w:ilvl w:val="0"/>
          <w:numId w:val="3"/>
        </w:numPr>
        <w:shd w:val="clear" w:color="auto" w:fill="FFFFFF"/>
        <w:snapToGrid w:val="0"/>
        <w:spacing w:after="0"/>
        <w:rPr>
          <w:rFonts w:eastAsia="Times New Roman" w:cstheme="minorHAnsi"/>
          <w:sz w:val="24"/>
          <w:szCs w:val="24"/>
        </w:rPr>
      </w:pPr>
      <w:r w:rsidRPr="00B52D28">
        <w:rPr>
          <w:rFonts w:eastAsia="Times New Roman" w:cstheme="minorHAnsi"/>
          <w:sz w:val="24"/>
          <w:szCs w:val="24"/>
        </w:rPr>
        <w:t>Verification that the complaint met Title IX regulatory standards;</w:t>
      </w:r>
    </w:p>
    <w:p w14:paraId="560317D5" w14:textId="77777777" w:rsidR="009E29E3" w:rsidRPr="00B52D28" w:rsidRDefault="009E29E3" w:rsidP="00A70D1D">
      <w:pPr>
        <w:numPr>
          <w:ilvl w:val="0"/>
          <w:numId w:val="3"/>
        </w:numPr>
        <w:shd w:val="clear" w:color="auto" w:fill="FFFFFF"/>
        <w:snapToGrid w:val="0"/>
        <w:spacing w:after="0"/>
        <w:rPr>
          <w:rFonts w:eastAsia="Times New Roman" w:cstheme="minorHAnsi"/>
          <w:sz w:val="24"/>
          <w:szCs w:val="24"/>
        </w:rPr>
      </w:pPr>
      <w:r w:rsidRPr="00B52D28">
        <w:rPr>
          <w:rFonts w:eastAsia="Times New Roman" w:cstheme="minorHAnsi"/>
          <w:sz w:val="24"/>
          <w:szCs w:val="24"/>
        </w:rPr>
        <w:t>Factual summary of investigatory findings</w:t>
      </w:r>
    </w:p>
    <w:p w14:paraId="4FB63AE4" w14:textId="77777777" w:rsidR="009E29E3" w:rsidRPr="00B52D28" w:rsidRDefault="009E29E3" w:rsidP="00A70D1D">
      <w:pPr>
        <w:numPr>
          <w:ilvl w:val="0"/>
          <w:numId w:val="3"/>
        </w:numPr>
        <w:shd w:val="clear" w:color="auto" w:fill="FFFFFF"/>
        <w:snapToGrid w:val="0"/>
        <w:spacing w:after="0"/>
        <w:rPr>
          <w:rFonts w:eastAsia="Times New Roman" w:cstheme="minorHAnsi"/>
          <w:sz w:val="24"/>
          <w:szCs w:val="24"/>
        </w:rPr>
      </w:pPr>
      <w:r w:rsidRPr="00B52D28">
        <w:rPr>
          <w:rFonts w:eastAsia="Times New Roman" w:cstheme="minorHAnsi"/>
          <w:sz w:val="24"/>
          <w:szCs w:val="24"/>
        </w:rPr>
        <w:t>List of all parties interviewed, dates, and times;</w:t>
      </w:r>
    </w:p>
    <w:p w14:paraId="1CFE27FA" w14:textId="77777777" w:rsidR="009E29E3" w:rsidRPr="00B52D28" w:rsidRDefault="009E29E3" w:rsidP="00A70D1D">
      <w:pPr>
        <w:numPr>
          <w:ilvl w:val="0"/>
          <w:numId w:val="3"/>
        </w:numPr>
        <w:shd w:val="clear" w:color="auto" w:fill="FFFFFF"/>
        <w:snapToGrid w:val="0"/>
        <w:spacing w:after="0"/>
        <w:rPr>
          <w:rFonts w:eastAsia="Times New Roman" w:cstheme="minorHAnsi"/>
          <w:sz w:val="24"/>
          <w:szCs w:val="24"/>
        </w:rPr>
      </w:pPr>
      <w:r w:rsidRPr="00B52D28">
        <w:rPr>
          <w:rFonts w:eastAsia="Times New Roman" w:cstheme="minorHAnsi"/>
          <w:sz w:val="24"/>
          <w:szCs w:val="24"/>
        </w:rPr>
        <w:t>Narrative of interviews;</w:t>
      </w:r>
    </w:p>
    <w:p w14:paraId="5D5071EB" w14:textId="77777777" w:rsidR="009E29E3" w:rsidRPr="00B52D28" w:rsidRDefault="009E29E3" w:rsidP="00A70D1D">
      <w:pPr>
        <w:numPr>
          <w:ilvl w:val="0"/>
          <w:numId w:val="3"/>
        </w:numPr>
        <w:shd w:val="clear" w:color="auto" w:fill="FFFFFF"/>
        <w:snapToGrid w:val="0"/>
        <w:spacing w:after="0"/>
        <w:rPr>
          <w:rFonts w:eastAsia="Times New Roman" w:cstheme="minorHAnsi"/>
          <w:sz w:val="24"/>
          <w:szCs w:val="24"/>
        </w:rPr>
      </w:pPr>
      <w:r w:rsidRPr="00B52D28">
        <w:rPr>
          <w:rFonts w:eastAsia="Times New Roman" w:cstheme="minorHAnsi"/>
          <w:sz w:val="24"/>
          <w:szCs w:val="24"/>
        </w:rPr>
        <w:t>Description of evidence collected;</w:t>
      </w:r>
    </w:p>
    <w:p w14:paraId="722F24E0" w14:textId="77777777" w:rsidR="009E29E3" w:rsidRPr="00B52D28" w:rsidRDefault="009E29E3" w:rsidP="00A70D1D">
      <w:pPr>
        <w:numPr>
          <w:ilvl w:val="0"/>
          <w:numId w:val="3"/>
        </w:numPr>
        <w:shd w:val="clear" w:color="auto" w:fill="FFFFFF"/>
        <w:snapToGrid w:val="0"/>
        <w:spacing w:after="0"/>
        <w:rPr>
          <w:rFonts w:eastAsia="Times New Roman" w:cstheme="minorHAnsi"/>
          <w:sz w:val="24"/>
          <w:szCs w:val="24"/>
        </w:rPr>
      </w:pPr>
      <w:r w:rsidRPr="00B52D28">
        <w:rPr>
          <w:rFonts w:eastAsia="Times New Roman" w:cstheme="minorHAnsi"/>
          <w:sz w:val="24"/>
          <w:szCs w:val="24"/>
        </w:rPr>
        <w:t>Institutional standard of evidence statement and how the allegations meet or do not meet this standard; and</w:t>
      </w:r>
    </w:p>
    <w:p w14:paraId="15A6A3C8" w14:textId="77777777" w:rsidR="009E29E3" w:rsidRPr="00B52D28" w:rsidRDefault="009E29E3" w:rsidP="00A70D1D">
      <w:pPr>
        <w:numPr>
          <w:ilvl w:val="0"/>
          <w:numId w:val="3"/>
        </w:numPr>
        <w:shd w:val="clear" w:color="auto" w:fill="FFFFFF"/>
        <w:snapToGrid w:val="0"/>
        <w:spacing w:after="0"/>
        <w:rPr>
          <w:rFonts w:eastAsia="Times New Roman" w:cstheme="minorHAnsi"/>
          <w:sz w:val="24"/>
          <w:szCs w:val="24"/>
        </w:rPr>
      </w:pPr>
      <w:r w:rsidRPr="00B52D28">
        <w:rPr>
          <w:rFonts w:eastAsia="Times New Roman" w:cstheme="minorHAnsi"/>
          <w:sz w:val="24"/>
          <w:szCs w:val="24"/>
        </w:rPr>
        <w:t>Other information which may assist the hearings officer in making their determination.</w:t>
      </w:r>
    </w:p>
    <w:p w14:paraId="09B21B4F" w14:textId="77777777" w:rsidR="00A70D1D" w:rsidRPr="00B52D28" w:rsidRDefault="00A70D1D" w:rsidP="00A70D1D">
      <w:pPr>
        <w:shd w:val="clear" w:color="auto" w:fill="FFFFFF"/>
        <w:snapToGrid w:val="0"/>
        <w:spacing w:after="0"/>
        <w:rPr>
          <w:rFonts w:eastAsia="Times New Roman" w:cstheme="minorHAnsi"/>
          <w:sz w:val="24"/>
          <w:szCs w:val="24"/>
        </w:rPr>
      </w:pPr>
    </w:p>
    <w:p w14:paraId="34E5F39E" w14:textId="19A27D6A" w:rsidR="009E29E3" w:rsidRPr="00B52D28" w:rsidRDefault="009E29E3" w:rsidP="00A70D1D">
      <w:pPr>
        <w:shd w:val="clear" w:color="auto" w:fill="FFFFFF"/>
        <w:snapToGrid w:val="0"/>
        <w:spacing w:after="0"/>
        <w:rPr>
          <w:rFonts w:eastAsia="Times New Roman" w:cstheme="minorHAnsi"/>
          <w:sz w:val="24"/>
          <w:szCs w:val="24"/>
        </w:rPr>
      </w:pPr>
      <w:r w:rsidRPr="00B52D28">
        <w:rPr>
          <w:rFonts w:eastAsia="Times New Roman" w:cstheme="minorHAnsi"/>
          <w:sz w:val="24"/>
          <w:szCs w:val="24"/>
        </w:rPr>
        <w:t>The report will not include information not directly related to the alleged violation, unless it is evidence of a pattern of behavior on behalf of the respondent, the character of the complainant or respondent, or the complainant’s past sexual activity unless offered to prove that someone else conducted the alleged violation.</w:t>
      </w:r>
    </w:p>
    <w:p w14:paraId="269DFCF1" w14:textId="77777777" w:rsidR="009E29E3" w:rsidRPr="00B52D28" w:rsidRDefault="009E29E3" w:rsidP="00A70D1D">
      <w:pPr>
        <w:snapToGrid w:val="0"/>
        <w:spacing w:after="0"/>
        <w:rPr>
          <w:rFonts w:eastAsia="Times New Roman" w:cstheme="minorHAnsi"/>
          <w:sz w:val="24"/>
          <w:szCs w:val="24"/>
          <w:shd w:val="clear" w:color="auto" w:fill="FFFFFF"/>
        </w:rPr>
      </w:pPr>
    </w:p>
    <w:p w14:paraId="30A87AC6" w14:textId="6CD2A9C6" w:rsidR="00A70D1D" w:rsidRPr="00B52D28" w:rsidRDefault="00A70D1D" w:rsidP="00B52D28">
      <w:pPr>
        <w:shd w:val="clear" w:color="auto" w:fill="C5E0B3" w:themeFill="accent6" w:themeFillTint="66"/>
        <w:snapToGrid w:val="0"/>
        <w:spacing w:after="0"/>
        <w:jc w:val="center"/>
        <w:rPr>
          <w:rFonts w:cstheme="minorHAnsi"/>
          <w:b/>
          <w:bCs/>
          <w:kern w:val="24"/>
          <w:sz w:val="24"/>
          <w:szCs w:val="24"/>
        </w:rPr>
      </w:pPr>
      <w:r w:rsidRPr="00B52D28">
        <w:rPr>
          <w:rFonts w:cstheme="minorHAnsi"/>
          <w:b/>
          <w:bCs/>
          <w:kern w:val="24"/>
          <w:sz w:val="24"/>
          <w:szCs w:val="24"/>
        </w:rPr>
        <w:t xml:space="preserve">COCC – Formal Investigation </w:t>
      </w:r>
    </w:p>
    <w:p w14:paraId="4A7ACA95" w14:textId="77777777" w:rsidR="00A70D1D" w:rsidRPr="00B52D28" w:rsidRDefault="00A70D1D" w:rsidP="00A70D1D">
      <w:pPr>
        <w:snapToGrid w:val="0"/>
        <w:spacing w:after="0"/>
        <w:rPr>
          <w:rFonts w:cstheme="minorHAnsi"/>
          <w:sz w:val="24"/>
          <w:szCs w:val="24"/>
        </w:rPr>
      </w:pPr>
    </w:p>
    <w:p w14:paraId="63BA88FF" w14:textId="77777777" w:rsidR="00A70D1D" w:rsidRPr="00B52D28" w:rsidRDefault="00A70D1D" w:rsidP="00A70D1D">
      <w:pPr>
        <w:snapToGrid w:val="0"/>
        <w:spacing w:after="0"/>
        <w:jc w:val="center"/>
        <w:rPr>
          <w:rFonts w:cstheme="minorHAnsi"/>
          <w:sz w:val="24"/>
          <w:szCs w:val="24"/>
        </w:rPr>
      </w:pPr>
      <w:r w:rsidRPr="00B52D28">
        <w:rPr>
          <w:rFonts w:cstheme="minorHAnsi"/>
          <w:sz w:val="24"/>
          <w:szCs w:val="24"/>
        </w:rPr>
        <w:t xml:space="preserve">General Procedures Manual: </w:t>
      </w:r>
      <w:hyperlink r:id="rId8" w:history="1">
        <w:r w:rsidRPr="00B52D28">
          <w:rPr>
            <w:rStyle w:val="Hyperlink"/>
            <w:rFonts w:cstheme="minorHAnsi"/>
            <w:color w:val="auto"/>
            <w:sz w:val="24"/>
            <w:szCs w:val="24"/>
          </w:rPr>
          <w:t>N-3-10</w:t>
        </w:r>
      </w:hyperlink>
    </w:p>
    <w:p w14:paraId="35FD4F29" w14:textId="77777777" w:rsidR="009E29E3" w:rsidRPr="00B52D28" w:rsidRDefault="009E29E3" w:rsidP="00A70D1D">
      <w:pPr>
        <w:snapToGrid w:val="0"/>
        <w:spacing w:after="0"/>
        <w:rPr>
          <w:rFonts w:eastAsia="Times New Roman" w:cstheme="minorHAnsi"/>
          <w:sz w:val="24"/>
          <w:szCs w:val="24"/>
          <w:shd w:val="clear" w:color="auto" w:fill="FFFFFF"/>
        </w:rPr>
      </w:pPr>
    </w:p>
    <w:p w14:paraId="3BB395E3" w14:textId="15FD6AF7" w:rsidR="009E29E3" w:rsidRPr="00B52D28" w:rsidRDefault="009E29E3" w:rsidP="00A70D1D">
      <w:pPr>
        <w:snapToGrid w:val="0"/>
        <w:spacing w:after="0"/>
        <w:rPr>
          <w:rFonts w:eastAsia="Times New Roman" w:cstheme="minorHAnsi"/>
          <w:sz w:val="24"/>
          <w:szCs w:val="24"/>
        </w:rPr>
      </w:pPr>
      <w:r w:rsidRPr="00B52D28">
        <w:rPr>
          <w:rFonts w:eastAsia="Times New Roman" w:cstheme="minorHAnsi"/>
          <w:sz w:val="24"/>
          <w:szCs w:val="24"/>
          <w:shd w:val="clear" w:color="auto" w:fill="FFFFFF"/>
        </w:rPr>
        <w:t>investigator(s) will write a report to include, at a minimum, the following:</w:t>
      </w:r>
      <w:r w:rsidRPr="00B52D28">
        <w:rPr>
          <w:rFonts w:eastAsia="Times New Roman" w:cstheme="minorHAnsi"/>
          <w:sz w:val="24"/>
          <w:szCs w:val="24"/>
        </w:rPr>
        <w:br/>
      </w:r>
    </w:p>
    <w:p w14:paraId="7389FB54" w14:textId="77777777" w:rsidR="009E29E3" w:rsidRPr="00B52D28" w:rsidRDefault="009E29E3" w:rsidP="00B52D28">
      <w:pPr>
        <w:numPr>
          <w:ilvl w:val="0"/>
          <w:numId w:val="6"/>
        </w:numPr>
        <w:shd w:val="clear" w:color="auto" w:fill="FFFFFF"/>
        <w:snapToGrid w:val="0"/>
        <w:spacing w:after="0"/>
        <w:rPr>
          <w:rFonts w:eastAsia="Times New Roman" w:cstheme="minorHAnsi"/>
          <w:sz w:val="24"/>
          <w:szCs w:val="24"/>
        </w:rPr>
      </w:pPr>
      <w:r w:rsidRPr="00B52D28">
        <w:rPr>
          <w:rFonts w:eastAsia="Times New Roman" w:cstheme="minorHAnsi"/>
          <w:sz w:val="24"/>
          <w:szCs w:val="24"/>
        </w:rPr>
        <w:t>Background (e.g., date of report and incident(s), alleged policy violation, names of reporting party(s) and responding party(s) and their advisors, interim measures);</w:t>
      </w:r>
    </w:p>
    <w:p w14:paraId="0F7BCBDE" w14:textId="77777777" w:rsidR="009E29E3" w:rsidRPr="00B52D28" w:rsidRDefault="009E29E3" w:rsidP="00B52D28">
      <w:pPr>
        <w:numPr>
          <w:ilvl w:val="0"/>
          <w:numId w:val="6"/>
        </w:numPr>
        <w:shd w:val="clear" w:color="auto" w:fill="FFFFFF"/>
        <w:snapToGrid w:val="0"/>
        <w:spacing w:after="0"/>
        <w:rPr>
          <w:rFonts w:eastAsia="Times New Roman" w:cstheme="minorHAnsi"/>
          <w:sz w:val="24"/>
          <w:szCs w:val="24"/>
        </w:rPr>
      </w:pPr>
      <w:r w:rsidRPr="00B52D28">
        <w:rPr>
          <w:rFonts w:eastAsia="Times New Roman" w:cstheme="minorHAnsi"/>
          <w:sz w:val="24"/>
          <w:szCs w:val="24"/>
        </w:rPr>
        <w:t>List of all parties interviewed, dates, and times;</w:t>
      </w:r>
    </w:p>
    <w:p w14:paraId="1B48AAFD" w14:textId="77777777" w:rsidR="009E29E3" w:rsidRPr="00B52D28" w:rsidRDefault="009E29E3" w:rsidP="00B52D28">
      <w:pPr>
        <w:numPr>
          <w:ilvl w:val="0"/>
          <w:numId w:val="6"/>
        </w:numPr>
        <w:shd w:val="clear" w:color="auto" w:fill="FFFFFF"/>
        <w:snapToGrid w:val="0"/>
        <w:spacing w:after="0"/>
        <w:rPr>
          <w:rFonts w:eastAsia="Times New Roman" w:cstheme="minorHAnsi"/>
          <w:sz w:val="24"/>
          <w:szCs w:val="24"/>
        </w:rPr>
      </w:pPr>
      <w:r w:rsidRPr="00B52D28">
        <w:rPr>
          <w:rFonts w:eastAsia="Times New Roman" w:cstheme="minorHAnsi"/>
          <w:sz w:val="24"/>
          <w:szCs w:val="24"/>
        </w:rPr>
        <w:t>Summary of interviews;</w:t>
      </w:r>
    </w:p>
    <w:p w14:paraId="4DD46D3F" w14:textId="77777777" w:rsidR="009E29E3" w:rsidRPr="00B52D28" w:rsidRDefault="009E29E3" w:rsidP="00B52D28">
      <w:pPr>
        <w:numPr>
          <w:ilvl w:val="0"/>
          <w:numId w:val="6"/>
        </w:numPr>
        <w:shd w:val="clear" w:color="auto" w:fill="FFFFFF"/>
        <w:snapToGrid w:val="0"/>
        <w:spacing w:after="0"/>
        <w:rPr>
          <w:rFonts w:eastAsia="Times New Roman" w:cstheme="minorHAnsi"/>
          <w:sz w:val="24"/>
          <w:szCs w:val="24"/>
        </w:rPr>
      </w:pPr>
      <w:r w:rsidRPr="00B52D28">
        <w:rPr>
          <w:rFonts w:eastAsia="Times New Roman" w:cstheme="minorHAnsi"/>
          <w:sz w:val="24"/>
          <w:szCs w:val="24"/>
        </w:rPr>
        <w:t>Description of evidence collected;</w:t>
      </w:r>
    </w:p>
    <w:p w14:paraId="696FF2B6" w14:textId="77777777" w:rsidR="009E29E3" w:rsidRPr="00B52D28" w:rsidRDefault="009E29E3" w:rsidP="00B52D28">
      <w:pPr>
        <w:numPr>
          <w:ilvl w:val="0"/>
          <w:numId w:val="6"/>
        </w:numPr>
        <w:shd w:val="clear" w:color="auto" w:fill="FFFFFF"/>
        <w:snapToGrid w:val="0"/>
        <w:spacing w:after="0"/>
        <w:rPr>
          <w:rFonts w:eastAsia="Times New Roman" w:cstheme="minorHAnsi"/>
          <w:sz w:val="24"/>
          <w:szCs w:val="24"/>
        </w:rPr>
      </w:pPr>
      <w:r w:rsidRPr="00B52D28">
        <w:rPr>
          <w:rFonts w:eastAsia="Times New Roman" w:cstheme="minorHAnsi"/>
          <w:sz w:val="24"/>
          <w:szCs w:val="24"/>
        </w:rPr>
        <w:t>Other information which may assist the hearings officer in making their determination.</w:t>
      </w:r>
    </w:p>
    <w:p w14:paraId="06BF0E61" w14:textId="77777777" w:rsidR="009E29E3" w:rsidRPr="00B52D28" w:rsidRDefault="009E29E3" w:rsidP="00A70D1D">
      <w:pPr>
        <w:shd w:val="clear" w:color="auto" w:fill="FFFFFF"/>
        <w:snapToGrid w:val="0"/>
        <w:spacing w:after="0"/>
        <w:ind w:left="720"/>
        <w:rPr>
          <w:rFonts w:eastAsia="Times New Roman" w:cstheme="minorHAnsi"/>
          <w:sz w:val="24"/>
          <w:szCs w:val="24"/>
        </w:rPr>
      </w:pPr>
      <w:r w:rsidRPr="00B52D28">
        <w:rPr>
          <w:rFonts w:eastAsia="Times New Roman" w:cstheme="minorHAnsi"/>
          <w:sz w:val="24"/>
          <w:szCs w:val="24"/>
        </w:rPr>
        <w:t> </w:t>
      </w:r>
    </w:p>
    <w:p w14:paraId="6A97660B" w14:textId="77777777" w:rsidR="009E29E3" w:rsidRPr="00B52D28" w:rsidRDefault="009E29E3" w:rsidP="00A70D1D">
      <w:pPr>
        <w:shd w:val="clear" w:color="auto" w:fill="FFFFFF"/>
        <w:snapToGrid w:val="0"/>
        <w:spacing w:after="0"/>
        <w:rPr>
          <w:rFonts w:eastAsia="Times New Roman" w:cstheme="minorHAnsi"/>
          <w:sz w:val="24"/>
          <w:szCs w:val="24"/>
        </w:rPr>
      </w:pPr>
      <w:r w:rsidRPr="00B52D28">
        <w:rPr>
          <w:rFonts w:eastAsia="Times New Roman" w:cstheme="minorHAnsi"/>
          <w:sz w:val="24"/>
          <w:szCs w:val="24"/>
        </w:rPr>
        <w:t>The report will not include information not directly related to the alleged violation unless it is evidence of a pattern of behavior on behalf of the responding party, investigator judgment about the character of the reporting party or responding party, or the either party’s past sexual activity unless offered to prove that someone else conducted the alleged violation.</w:t>
      </w:r>
    </w:p>
    <w:p w14:paraId="08C73127" w14:textId="77777777" w:rsidR="009E29E3" w:rsidRPr="00B52D28" w:rsidRDefault="009E29E3" w:rsidP="00A70D1D">
      <w:pPr>
        <w:snapToGrid w:val="0"/>
        <w:spacing w:after="0"/>
        <w:jc w:val="center"/>
        <w:rPr>
          <w:rFonts w:cstheme="minorHAnsi"/>
          <w:sz w:val="24"/>
          <w:szCs w:val="24"/>
        </w:rPr>
      </w:pPr>
    </w:p>
    <w:sectPr w:rsidR="009E29E3" w:rsidRPr="00B52D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7EC9"/>
    <w:multiLevelType w:val="multilevel"/>
    <w:tmpl w:val="7FDA6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7654A"/>
    <w:multiLevelType w:val="multilevel"/>
    <w:tmpl w:val="05BA06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AA65C8"/>
    <w:multiLevelType w:val="multilevel"/>
    <w:tmpl w:val="DC2AD81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F1A06D0"/>
    <w:multiLevelType w:val="hybridMultilevel"/>
    <w:tmpl w:val="18724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D25F5"/>
    <w:multiLevelType w:val="hybridMultilevel"/>
    <w:tmpl w:val="DE424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24374E"/>
    <w:multiLevelType w:val="multilevel"/>
    <w:tmpl w:val="B3241A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9E3"/>
    <w:rsid w:val="009E29E3"/>
    <w:rsid w:val="00A70D1D"/>
    <w:rsid w:val="00B52D28"/>
    <w:rsid w:val="00CF3087"/>
    <w:rsid w:val="00D00846"/>
    <w:rsid w:val="00FB29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A30E"/>
  <w15:chartTrackingRefBased/>
  <w15:docId w15:val="{9A0C8F96-DEE8-47E2-9DCA-29B89BB2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29E3"/>
    <w:rPr>
      <w:color w:val="0563C1" w:themeColor="hyperlink"/>
      <w:u w:val="single"/>
    </w:rPr>
  </w:style>
  <w:style w:type="character" w:styleId="UnresolvedMention">
    <w:name w:val="Unresolved Mention"/>
    <w:basedOn w:val="DefaultParagraphFont"/>
    <w:uiPriority w:val="99"/>
    <w:semiHidden/>
    <w:unhideWhenUsed/>
    <w:rsid w:val="009E29E3"/>
    <w:rPr>
      <w:color w:val="605E5C"/>
      <w:shd w:val="clear" w:color="auto" w:fill="E1DFDD"/>
    </w:rPr>
  </w:style>
  <w:style w:type="paragraph" w:styleId="NormalWeb">
    <w:name w:val="Normal (Web)"/>
    <w:basedOn w:val="Normal"/>
    <w:uiPriority w:val="99"/>
    <w:semiHidden/>
    <w:unhideWhenUsed/>
    <w:rsid w:val="009E29E3"/>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52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921">
      <w:bodyDiv w:val="1"/>
      <w:marLeft w:val="0"/>
      <w:marRight w:val="0"/>
      <w:marTop w:val="0"/>
      <w:marBottom w:val="0"/>
      <w:divBdr>
        <w:top w:val="none" w:sz="0" w:space="0" w:color="auto"/>
        <w:left w:val="none" w:sz="0" w:space="0" w:color="auto"/>
        <w:bottom w:val="none" w:sz="0" w:space="0" w:color="auto"/>
        <w:right w:val="none" w:sz="0" w:space="0" w:color="auto"/>
      </w:divBdr>
    </w:div>
    <w:div w:id="1735465516">
      <w:bodyDiv w:val="1"/>
      <w:marLeft w:val="0"/>
      <w:marRight w:val="0"/>
      <w:marTop w:val="0"/>
      <w:marBottom w:val="0"/>
      <w:divBdr>
        <w:top w:val="none" w:sz="0" w:space="0" w:color="auto"/>
        <w:left w:val="none" w:sz="0" w:space="0" w:color="auto"/>
        <w:bottom w:val="none" w:sz="0" w:space="0" w:color="auto"/>
        <w:right w:val="none" w:sz="0" w:space="0" w:color="auto"/>
      </w:divBdr>
    </w:div>
    <w:div w:id="182538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c.edu/policies/general-procedures-manual/nondiscrimination-sexual-harassment/cocc-formal-investigation-decision-appeal.aspx" TargetMode="External"/><Relationship Id="rId3" Type="http://schemas.openxmlformats.org/officeDocument/2006/relationships/settings" Target="settings.xml"/><Relationship Id="rId7" Type="http://schemas.openxmlformats.org/officeDocument/2006/relationships/hyperlink" Target="https://www.cocc.edu/policies/general-procedures-manual/nondiscrimination-sexual-harassment/title-ix-formal-investigation-decision-appe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cc.edu/policies/general-procedures-manual/nondiscrimination-sexual-harassment/cocc-formal-investigation-decision-appeal.aspx" TargetMode="External"/><Relationship Id="rId5" Type="http://schemas.openxmlformats.org/officeDocument/2006/relationships/hyperlink" Target="https://www.cocc.edu/policies/general-procedures-manual/nondiscrimination-sexual-harassment/title-ix-formal-investigation-decision-appeal.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Moore</dc:creator>
  <cp:keywords/>
  <dc:description/>
  <cp:lastModifiedBy>Christy Chaung</cp:lastModifiedBy>
  <cp:revision>2</cp:revision>
  <dcterms:created xsi:type="dcterms:W3CDTF">2023-08-03T22:38:00Z</dcterms:created>
  <dcterms:modified xsi:type="dcterms:W3CDTF">2023-08-03T22:38:00Z</dcterms:modified>
</cp:coreProperties>
</file>